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7AD6C" w14:textId="2770CC50" w:rsidR="004E3FEA" w:rsidRPr="00C5488A" w:rsidRDefault="00782E5B" w:rsidP="001E200A">
      <w:pPr>
        <w:pageBreakBefore/>
        <w:spacing w:after="0" w:line="276" w:lineRule="auto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(</w:t>
      </w:r>
      <w:r w:rsidR="006117D6">
        <w:rPr>
          <w:rFonts w:ascii="Titillium" w:hAnsi="Titillium" w:cs="Times New Roman"/>
          <w:sz w:val="20"/>
          <w:szCs w:val="20"/>
        </w:rPr>
        <w:t xml:space="preserve">NUCLEO DI VALUTAZIONE </w:t>
      </w:r>
      <w:r w:rsidR="00377F0E">
        <w:rPr>
          <w:rFonts w:ascii="Titillium" w:hAnsi="Titillium" w:cs="Times New Roman"/>
          <w:sz w:val="20"/>
          <w:szCs w:val="20"/>
        </w:rPr>
        <w:t>DEL</w:t>
      </w:r>
      <w:r w:rsidR="00AE0527">
        <w:rPr>
          <w:rFonts w:ascii="Titillium" w:hAnsi="Titillium" w:cs="Times New Roman"/>
          <w:sz w:val="20"/>
          <w:szCs w:val="20"/>
        </w:rPr>
        <w:t xml:space="preserve"> COMUN</w:t>
      </w:r>
      <w:r w:rsidR="00377F0E">
        <w:rPr>
          <w:rFonts w:ascii="Titillium" w:hAnsi="Titillium" w:cs="Times New Roman"/>
          <w:sz w:val="20"/>
          <w:szCs w:val="20"/>
        </w:rPr>
        <w:t>E</w:t>
      </w:r>
      <w:r w:rsidR="009E3A14">
        <w:rPr>
          <w:rFonts w:ascii="Titillium" w:hAnsi="Titillium" w:cs="Times New Roman"/>
          <w:sz w:val="20"/>
          <w:szCs w:val="20"/>
        </w:rPr>
        <w:t xml:space="preserve"> DI SAN NICOLO’ D’ARCIDANO</w:t>
      </w:r>
      <w:r w:rsidR="00AE0527">
        <w:rPr>
          <w:rFonts w:ascii="Titillium" w:hAnsi="Titillium" w:cs="Times New Roman"/>
          <w:sz w:val="20"/>
          <w:szCs w:val="20"/>
        </w:rPr>
        <w:t>)</w:t>
      </w:r>
    </w:p>
    <w:p w14:paraId="73450E0E" w14:textId="77777777" w:rsidR="00764C40" w:rsidRPr="00C5488A" w:rsidRDefault="00764C40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</w:p>
    <w:p w14:paraId="3B3918CF" w14:textId="77777777" w:rsidR="004E3FEA" w:rsidRPr="00C5488A" w:rsidRDefault="00782E5B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14:paraId="38AF2833" w14:textId="67F3F318" w:rsidR="0042731B" w:rsidRPr="00987C24" w:rsidRDefault="006117D6" w:rsidP="0042731B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color w:val="000000" w:themeColor="text1"/>
          <w:sz w:val="20"/>
          <w:szCs w:val="20"/>
        </w:rPr>
      </w:pPr>
      <w:r w:rsidRPr="0042731B">
        <w:rPr>
          <w:rFonts w:ascii="Titillium" w:hAnsi="Titillium" w:cs="Times New Roman"/>
          <w:sz w:val="20"/>
          <w:szCs w:val="20"/>
        </w:rPr>
        <w:t xml:space="preserve">Il Nucleo di Valutazione </w:t>
      </w:r>
      <w:r w:rsidR="009E3A14">
        <w:rPr>
          <w:rFonts w:ascii="Titillium" w:hAnsi="Titillium" w:cs="Times New Roman"/>
          <w:sz w:val="20"/>
          <w:szCs w:val="20"/>
        </w:rPr>
        <w:t xml:space="preserve">del </w:t>
      </w:r>
      <w:r w:rsidR="00377F0E">
        <w:rPr>
          <w:rFonts w:ascii="Titillium" w:hAnsi="Titillium" w:cs="Times New Roman"/>
          <w:sz w:val="20"/>
          <w:szCs w:val="20"/>
        </w:rPr>
        <w:t>comune</w:t>
      </w:r>
      <w:r w:rsidR="009E3A14">
        <w:rPr>
          <w:rFonts w:ascii="Titillium" w:hAnsi="Titillium" w:cs="Times New Roman"/>
          <w:sz w:val="20"/>
          <w:szCs w:val="20"/>
        </w:rPr>
        <w:t xml:space="preserve"> di San Nicolò d’Arcidano</w:t>
      </w:r>
      <w:r w:rsidR="00DA74D8" w:rsidRPr="0042731B">
        <w:rPr>
          <w:rFonts w:ascii="Titillium" w:hAnsi="Titillium" w:cs="Times New Roman"/>
          <w:sz w:val="20"/>
          <w:szCs w:val="20"/>
        </w:rPr>
        <w:t xml:space="preserve"> </w:t>
      </w:r>
      <w:r w:rsidR="00782E5B" w:rsidRPr="0042731B">
        <w:rPr>
          <w:rFonts w:ascii="Titillium" w:hAnsi="Titillium" w:cs="Times New Roman"/>
          <w:sz w:val="20"/>
          <w:szCs w:val="20"/>
        </w:rPr>
        <w:t>ha effettuato</w:t>
      </w:r>
      <w:r w:rsidR="00DA74D8" w:rsidRPr="0042731B">
        <w:rPr>
          <w:rFonts w:ascii="Titillium" w:hAnsi="Titillium" w:cs="Times New Roman"/>
          <w:sz w:val="20"/>
          <w:szCs w:val="20"/>
        </w:rPr>
        <w:t>,</w:t>
      </w:r>
      <w:r w:rsidR="00782E5B" w:rsidRPr="0042731B">
        <w:rPr>
          <w:rFonts w:ascii="Titillium" w:hAnsi="Titillium" w:cs="Times New Roman"/>
          <w:sz w:val="20"/>
          <w:szCs w:val="20"/>
        </w:rPr>
        <w:t xml:space="preserve"> </w:t>
      </w:r>
      <w:r w:rsidR="00DA74D8" w:rsidRPr="0042731B">
        <w:rPr>
          <w:rFonts w:ascii="Titillium" w:hAnsi="Titillium" w:cs="Times New Roman"/>
          <w:sz w:val="20"/>
          <w:szCs w:val="20"/>
        </w:rPr>
        <w:t xml:space="preserve">ai sensi dell’art. 14, co. 4, lett. g), del d.lgs. n. 150/2009 e delle </w:t>
      </w:r>
      <w:r w:rsidR="00DA74D8" w:rsidRPr="0042731B">
        <w:rPr>
          <w:rFonts w:ascii="Titillium" w:hAnsi="Titillium" w:cs="Times New Roman"/>
          <w:b/>
          <w:sz w:val="20"/>
          <w:szCs w:val="20"/>
        </w:rPr>
        <w:t xml:space="preserve">delibere ANAC n. 1310/2016 e </w:t>
      </w:r>
      <w:r w:rsidR="00A30748" w:rsidRPr="0042731B">
        <w:rPr>
          <w:rFonts w:ascii="Titillium" w:hAnsi="Titillium" w:cs="Times New Roman"/>
          <w:b/>
          <w:sz w:val="20"/>
          <w:szCs w:val="20"/>
        </w:rPr>
        <w:t xml:space="preserve">n. </w:t>
      </w:r>
      <w:r w:rsidR="00084790" w:rsidRPr="0042731B">
        <w:rPr>
          <w:rFonts w:ascii="Titillium" w:hAnsi="Titillium" w:cs="Times New Roman"/>
          <w:b/>
          <w:sz w:val="20"/>
          <w:szCs w:val="20"/>
        </w:rPr>
        <w:t>294/</w:t>
      </w:r>
      <w:r w:rsidR="003526DB" w:rsidRPr="0042731B">
        <w:rPr>
          <w:rFonts w:ascii="Titillium" w:hAnsi="Titillium" w:cs="Times New Roman"/>
          <w:b/>
          <w:sz w:val="20"/>
          <w:szCs w:val="20"/>
        </w:rPr>
        <w:t>202</w:t>
      </w:r>
      <w:r w:rsidR="00A30748" w:rsidRPr="0042731B">
        <w:rPr>
          <w:rFonts w:ascii="Titillium" w:hAnsi="Titillium" w:cs="Times New Roman"/>
          <w:b/>
          <w:sz w:val="20"/>
          <w:szCs w:val="20"/>
        </w:rPr>
        <w:t>1</w:t>
      </w:r>
      <w:r w:rsidR="003526DB" w:rsidRPr="0042731B">
        <w:rPr>
          <w:rFonts w:ascii="Titillium" w:hAnsi="Titillium" w:cs="Times New Roman"/>
          <w:b/>
          <w:sz w:val="20"/>
          <w:szCs w:val="20"/>
        </w:rPr>
        <w:t xml:space="preserve">, </w:t>
      </w:r>
      <w:r w:rsidR="00782E5B" w:rsidRPr="0042731B">
        <w:rPr>
          <w:rFonts w:ascii="Titillium" w:hAnsi="Titillium" w:cs="Times New Roman"/>
          <w:sz w:val="20"/>
          <w:szCs w:val="20"/>
        </w:rPr>
        <w:t xml:space="preserve">la verifica sulla pubblicazione, sulla completezza, </w:t>
      </w:r>
      <w:r w:rsidR="00782E5B" w:rsidRPr="0042731B">
        <w:rPr>
          <w:rFonts w:ascii="Titillium" w:hAnsi="Titillium" w:cs="Times New Roman"/>
          <w:color w:val="000000" w:themeColor="text1"/>
          <w:sz w:val="20"/>
          <w:szCs w:val="20"/>
        </w:rPr>
        <w:t>sull’aggiornamento e sull’apertura del formato di ciascun documento</w:t>
      </w:r>
      <w:r w:rsidR="0042731B" w:rsidRPr="0042731B">
        <w:rPr>
          <w:rFonts w:ascii="Titillium" w:hAnsi="Titillium" w:cs="Times New Roman"/>
          <w:color w:val="000000" w:themeColor="text1"/>
          <w:sz w:val="20"/>
          <w:szCs w:val="20"/>
        </w:rPr>
        <w:t xml:space="preserve"> </w:t>
      </w:r>
      <w:r w:rsidR="0042731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dato ed informazione elencati nell’Allegato 2.1.A (e Allegato 2.1.B per amministrazioni ed enti con uffici periferici) – Griglia di rilevazione al </w:t>
      </w:r>
      <w:r w:rsidR="0042731B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31 maggio 2021 </w:t>
      </w:r>
      <w:r w:rsidR="0042731B" w:rsidRPr="00987C24">
        <w:rPr>
          <w:rFonts w:ascii="Titillium" w:hAnsi="Titillium" w:cs="Times New Roman"/>
          <w:color w:val="000000" w:themeColor="text1"/>
          <w:sz w:val="20"/>
          <w:szCs w:val="20"/>
        </w:rPr>
        <w:t>della delibera n. 294/2021.</w:t>
      </w:r>
    </w:p>
    <w:p w14:paraId="0D5918A7" w14:textId="2F5EA637" w:rsidR="004869E2" w:rsidRPr="0042731B" w:rsidRDefault="00B538D7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 w:rsidRPr="0042731B">
        <w:rPr>
          <w:rFonts w:ascii="Titillium" w:hAnsi="Titillium" w:cs="Times New Roman"/>
          <w:sz w:val="20"/>
          <w:szCs w:val="20"/>
        </w:rPr>
        <w:t>IL NUCLEO DI VALUTAZIONE</w:t>
      </w:r>
      <w:r w:rsidR="00782E5B" w:rsidRPr="0042731B">
        <w:rPr>
          <w:rFonts w:ascii="Titillium" w:hAnsi="Titillium" w:cs="Times New Roman"/>
          <w:sz w:val="20"/>
          <w:szCs w:val="20"/>
        </w:rPr>
        <w:t xml:space="preserve"> </w:t>
      </w:r>
      <w:r w:rsidR="004869E2" w:rsidRPr="0042731B">
        <w:rPr>
          <w:rFonts w:ascii="Titillium" w:hAnsi="Titillium" w:cs="Times New Roman"/>
          <w:sz w:val="20"/>
          <w:szCs w:val="20"/>
        </w:rPr>
        <w:t>ha svolto gli accertamenti:</w:t>
      </w:r>
    </w:p>
    <w:p w14:paraId="2E13651C" w14:textId="77777777" w:rsidR="004869E2" w:rsidRPr="00C5488A" w:rsidRDefault="004869E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prevenzione della corruzione e della </w:t>
      </w:r>
      <w:r w:rsidR="00782E5B" w:rsidRPr="00C5488A">
        <w:rPr>
          <w:rFonts w:ascii="Titillium" w:hAnsi="Titillium" w:cs="Times New Roman"/>
          <w:sz w:val="20"/>
          <w:szCs w:val="20"/>
        </w:rPr>
        <w:t>trasparenza ai sensi dell’art. 43, c</w:t>
      </w:r>
      <w:r w:rsidR="00F81E69" w:rsidRPr="00C5488A">
        <w:rPr>
          <w:rFonts w:ascii="Titillium" w:hAnsi="Titillium" w:cs="Times New Roman"/>
          <w:sz w:val="20"/>
          <w:szCs w:val="20"/>
        </w:rPr>
        <w:t>o</w:t>
      </w:r>
      <w:r w:rsidR="00782E5B" w:rsidRPr="00C5488A">
        <w:rPr>
          <w:rFonts w:ascii="Titillium" w:hAnsi="Titillium" w:cs="Times New Roman"/>
          <w:sz w:val="20"/>
          <w:szCs w:val="20"/>
        </w:rPr>
        <w:t>. 1, del d.lgs. n. 33/2013</w:t>
      </w:r>
    </w:p>
    <w:p w14:paraId="391A9D9E" w14:textId="77777777" w:rsidR="004869E2" w:rsidRPr="00B538D7" w:rsidRDefault="004869E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trike/>
          <w:sz w:val="20"/>
          <w:szCs w:val="20"/>
        </w:rPr>
      </w:pPr>
      <w:r w:rsidRPr="00B538D7">
        <w:rPr>
          <w:rFonts w:ascii="Courier New" w:hAnsi="Courier New" w:cs="Courier New"/>
          <w:strike/>
          <w:sz w:val="20"/>
          <w:szCs w:val="20"/>
        </w:rPr>
        <w:t>□</w:t>
      </w:r>
      <w:r w:rsidRPr="00B538D7">
        <w:rPr>
          <w:rFonts w:ascii="Titillium" w:hAnsi="Titillium" w:cs="Times New Roman"/>
          <w:strike/>
          <w:sz w:val="20"/>
          <w:szCs w:val="20"/>
        </w:rPr>
        <w:t xml:space="preserve"> in assenza del </w:t>
      </w:r>
      <w:r w:rsidR="00A01D67" w:rsidRPr="00B538D7">
        <w:rPr>
          <w:rFonts w:ascii="Titillium" w:hAnsi="Titillium" w:cs="Times New Roman"/>
          <w:strike/>
          <w:sz w:val="20"/>
          <w:szCs w:val="20"/>
        </w:rPr>
        <w:t>Responsabile della prevenzione della</w:t>
      </w:r>
      <w:r w:rsidR="00CE4B1E" w:rsidRPr="00B538D7">
        <w:rPr>
          <w:rFonts w:ascii="Titillium" w:hAnsi="Titillium" w:cs="Times New Roman"/>
          <w:strike/>
          <w:sz w:val="20"/>
          <w:szCs w:val="20"/>
        </w:rPr>
        <w:t xml:space="preserve"> corruzione e della trasparenza </w:t>
      </w:r>
      <w:r w:rsidR="00A01D67" w:rsidRPr="00B538D7">
        <w:rPr>
          <w:rFonts w:ascii="Titillium" w:hAnsi="Titillium" w:cs="Times New Roman"/>
          <w:strike/>
          <w:sz w:val="20"/>
          <w:szCs w:val="20"/>
        </w:rPr>
        <w:t xml:space="preserve">gli accertamenti sono stati svolti solo dall’OIV/ altro </w:t>
      </w:r>
      <w:r w:rsidR="001F4C4E" w:rsidRPr="00B538D7">
        <w:rPr>
          <w:rFonts w:ascii="Titillium" w:hAnsi="Titillium" w:cs="Times New Roman"/>
          <w:strike/>
          <w:sz w:val="20"/>
          <w:szCs w:val="20"/>
        </w:rPr>
        <w:t>Organismo</w:t>
      </w:r>
      <w:r w:rsidR="007F0BC7" w:rsidRPr="00B538D7">
        <w:rPr>
          <w:rFonts w:ascii="Titillium" w:hAnsi="Titillium" w:cs="Times New Roman"/>
          <w:strike/>
          <w:sz w:val="20"/>
          <w:szCs w:val="20"/>
        </w:rPr>
        <w:t>/soggetto</w:t>
      </w:r>
      <w:r w:rsidR="00747FDE" w:rsidRPr="00B538D7">
        <w:rPr>
          <w:rFonts w:ascii="Titillium" w:hAnsi="Titillium" w:cs="Times New Roman"/>
          <w:strike/>
          <w:sz w:val="20"/>
          <w:szCs w:val="20"/>
        </w:rPr>
        <w:t xml:space="preserve"> con funzioni analoghe</w:t>
      </w:r>
      <w:r w:rsidR="007F0BC7" w:rsidRPr="00B538D7">
        <w:rPr>
          <w:rFonts w:ascii="Titillium" w:hAnsi="Titillium" w:cs="Times New Roman"/>
          <w:strike/>
          <w:sz w:val="20"/>
          <w:szCs w:val="20"/>
        </w:rPr>
        <w:t>.</w:t>
      </w:r>
    </w:p>
    <w:p w14:paraId="4D1D83F3" w14:textId="687E9010" w:rsidR="004E3FEA" w:rsidRPr="00C5488A" w:rsidRDefault="00782E5B" w:rsidP="001E200A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Sulla b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ase di quanto sopra, </w:t>
      </w:r>
      <w:r w:rsidR="00B538D7">
        <w:rPr>
          <w:rFonts w:ascii="Titillium" w:hAnsi="Titillium" w:cs="Times New Roman"/>
          <w:sz w:val="20"/>
          <w:szCs w:val="20"/>
        </w:rPr>
        <w:t>il Nucleo di Valutazione</w:t>
      </w:r>
      <w:r w:rsidRPr="00C5488A">
        <w:rPr>
          <w:rFonts w:ascii="Titillium" w:hAnsi="Titillium" w:cs="Times New Roman"/>
          <w:sz w:val="20"/>
          <w:szCs w:val="20"/>
        </w:rPr>
        <w:t>, ai sensi dell’art. 14, c</w:t>
      </w:r>
      <w:r w:rsidR="00BF1924" w:rsidRPr="00C5488A">
        <w:rPr>
          <w:rFonts w:ascii="Titillium" w:hAnsi="Titillium" w:cs="Times New Roman"/>
          <w:sz w:val="20"/>
          <w:szCs w:val="20"/>
        </w:rPr>
        <w:t>o</w:t>
      </w:r>
      <w:r w:rsidRPr="00C5488A">
        <w:rPr>
          <w:rFonts w:ascii="Titillium" w:hAnsi="Titillium" w:cs="Times New Roman"/>
          <w:sz w:val="20"/>
          <w:szCs w:val="20"/>
        </w:rPr>
        <w:t>. 4, lett. g), del d.lgs. n. 150/2009</w:t>
      </w:r>
    </w:p>
    <w:p w14:paraId="005BDB0C" w14:textId="77777777" w:rsidR="00674A85" w:rsidRPr="00C5488A" w:rsidRDefault="00674A85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</w:p>
    <w:p w14:paraId="5EEEFFB3" w14:textId="77777777" w:rsidR="00674A85" w:rsidRPr="00C5488A" w:rsidRDefault="00674A85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</w:p>
    <w:p w14:paraId="11D4538B" w14:textId="77777777" w:rsidR="004E3FEA" w:rsidRPr="00C5488A" w:rsidRDefault="00782E5B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  <w:r w:rsidR="00851A73" w:rsidRPr="00C5488A">
        <w:rPr>
          <w:rFonts w:ascii="Titillium" w:hAnsi="Titillium" w:cs="Times New Roman"/>
          <w:b/>
          <w:sz w:val="20"/>
          <w:szCs w:val="20"/>
        </w:rPr>
        <w:t xml:space="preserve"> CHE</w:t>
      </w:r>
    </w:p>
    <w:p w14:paraId="1995B15F" w14:textId="77777777" w:rsidR="000B7CB8" w:rsidRPr="00C5488A" w:rsidRDefault="00851A73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="00A01D67" w:rsidRPr="00C5488A">
        <w:rPr>
          <w:rFonts w:ascii="Titillium" w:hAnsi="Titillium"/>
          <w:caps/>
          <w:sz w:val="20"/>
          <w:szCs w:val="20"/>
        </w:rPr>
        <w:t>l’</w:t>
      </w:r>
      <w:r w:rsidR="000B7CB8" w:rsidRPr="00C5488A">
        <w:rPr>
          <w:rFonts w:ascii="Titillium" w:hAnsi="Titillium"/>
          <w:sz w:val="20"/>
          <w:szCs w:val="20"/>
        </w:rPr>
        <w:t>amministrazione/ente</w:t>
      </w:r>
      <w:r w:rsidR="0027396B" w:rsidRPr="00C5488A">
        <w:rPr>
          <w:rFonts w:ascii="Titillium" w:hAnsi="Titillium"/>
          <w:sz w:val="20"/>
          <w:szCs w:val="20"/>
        </w:rPr>
        <w:t xml:space="preserve"> ha</w:t>
      </w:r>
      <w:r w:rsidRPr="00C5488A">
        <w:rPr>
          <w:rFonts w:ascii="Titillium" w:hAnsi="Titillium"/>
          <w:sz w:val="20"/>
          <w:szCs w:val="20"/>
        </w:rPr>
        <w:t xml:space="preserve"> individuato </w:t>
      </w:r>
      <w:r w:rsidR="00A01D67" w:rsidRPr="00C5488A">
        <w:rPr>
          <w:rFonts w:ascii="Titillium" w:hAnsi="Titillium"/>
          <w:sz w:val="20"/>
          <w:szCs w:val="20"/>
        </w:rPr>
        <w:t xml:space="preserve">misure organizzative </w:t>
      </w:r>
      <w:r w:rsidR="0027396B" w:rsidRPr="00C5488A">
        <w:rPr>
          <w:rFonts w:ascii="Titillium" w:hAnsi="Titillium"/>
          <w:sz w:val="20"/>
          <w:szCs w:val="20"/>
        </w:rPr>
        <w:t>che assicurano</w:t>
      </w:r>
      <w:r w:rsidR="00A01D67" w:rsidRPr="00C5488A">
        <w:rPr>
          <w:rFonts w:ascii="Titillium" w:hAnsi="Titillium"/>
          <w:sz w:val="20"/>
          <w:szCs w:val="20"/>
        </w:rPr>
        <w:t xml:space="preserve"> il regolare funzionamento dei flussi informativi </w:t>
      </w:r>
      <w:r w:rsidR="0027396B" w:rsidRPr="00C5488A">
        <w:rPr>
          <w:rFonts w:ascii="Titillium" w:hAnsi="Titillium"/>
          <w:sz w:val="20"/>
          <w:szCs w:val="20"/>
        </w:rPr>
        <w:t>per la</w:t>
      </w:r>
      <w:r w:rsidR="00A01D67" w:rsidRPr="00C5488A">
        <w:rPr>
          <w:rFonts w:ascii="Titillium" w:hAnsi="Titillium"/>
          <w:sz w:val="20"/>
          <w:szCs w:val="20"/>
        </w:rPr>
        <w:t xml:space="preserve"> pubblicazione dei dati nella sezione “</w:t>
      </w:r>
      <w:r w:rsidR="00A01D67" w:rsidRPr="00C5488A">
        <w:rPr>
          <w:rFonts w:ascii="Titillium" w:hAnsi="Titillium"/>
          <w:i/>
          <w:sz w:val="20"/>
          <w:szCs w:val="20"/>
        </w:rPr>
        <w:t>Amministrazione trasparente</w:t>
      </w:r>
      <w:r w:rsidR="00A01D67" w:rsidRPr="00C5488A">
        <w:rPr>
          <w:rFonts w:ascii="Titillium" w:hAnsi="Titillium"/>
          <w:sz w:val="20"/>
          <w:szCs w:val="20"/>
        </w:rPr>
        <w:t>”</w:t>
      </w:r>
      <w:r w:rsidR="000B7CB8" w:rsidRPr="00C5488A">
        <w:rPr>
          <w:rFonts w:ascii="Titillium" w:hAnsi="Titillium"/>
          <w:sz w:val="20"/>
          <w:szCs w:val="20"/>
        </w:rPr>
        <w:t>;</w:t>
      </w:r>
    </w:p>
    <w:p w14:paraId="1EC253FE" w14:textId="77777777" w:rsidR="00602524" w:rsidRPr="00B538D7" w:rsidRDefault="00602524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trike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caps/>
          <w:sz w:val="20"/>
          <w:szCs w:val="20"/>
        </w:rPr>
        <w:t xml:space="preserve"> </w:t>
      </w:r>
      <w:r w:rsidRPr="00B538D7">
        <w:rPr>
          <w:rFonts w:ascii="Titillium" w:hAnsi="Titillium"/>
          <w:caps/>
          <w:strike/>
          <w:sz w:val="20"/>
          <w:szCs w:val="20"/>
        </w:rPr>
        <w:t>l’</w:t>
      </w:r>
      <w:r w:rsidRPr="00B538D7">
        <w:rPr>
          <w:rFonts w:ascii="Titillium" w:hAnsi="Titillium"/>
          <w:strike/>
          <w:sz w:val="20"/>
          <w:szCs w:val="20"/>
        </w:rPr>
        <w:t xml:space="preserve">amministrazione/ente </w:t>
      </w:r>
      <w:r w:rsidRPr="00B538D7">
        <w:rPr>
          <w:rFonts w:ascii="Titillium" w:hAnsi="Titillium"/>
          <w:strike/>
          <w:sz w:val="20"/>
          <w:szCs w:val="20"/>
          <w:u w:val="single"/>
        </w:rPr>
        <w:t>NON</w:t>
      </w:r>
      <w:r w:rsidRPr="00B538D7">
        <w:rPr>
          <w:rFonts w:ascii="Titillium" w:hAnsi="Titillium"/>
          <w:strike/>
          <w:sz w:val="20"/>
          <w:szCs w:val="20"/>
        </w:rPr>
        <w:t xml:space="preserve"> ha individuato misure organizzative che assicurano il regolare funzionamento dei flussi informativi per la pubblicazione dei dati nella sezione “</w:t>
      </w:r>
      <w:r w:rsidRPr="00B538D7">
        <w:rPr>
          <w:rFonts w:ascii="Titillium" w:hAnsi="Titillium"/>
          <w:i/>
          <w:strike/>
          <w:sz w:val="20"/>
          <w:szCs w:val="20"/>
        </w:rPr>
        <w:t>Amministrazione trasparente”;</w:t>
      </w:r>
    </w:p>
    <w:p w14:paraId="201CFFE2" w14:textId="77777777"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z w:val="20"/>
          <w:szCs w:val="20"/>
        </w:rPr>
      </w:pPr>
    </w:p>
    <w:p w14:paraId="139134F4" w14:textId="77777777" w:rsidR="004E3FEA" w:rsidRPr="00C5488A" w:rsidRDefault="000B7CB8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ha individuato </w:t>
      </w:r>
      <w:r w:rsidR="00F81E69" w:rsidRPr="00C5488A">
        <w:rPr>
          <w:rFonts w:ascii="Titillium" w:hAnsi="Titillium"/>
          <w:sz w:val="20"/>
          <w:szCs w:val="20"/>
        </w:rPr>
        <w:t>nel</w:t>
      </w:r>
      <w:r w:rsidR="00BF1924" w:rsidRPr="00C5488A">
        <w:rPr>
          <w:rFonts w:ascii="Titillium" w:hAnsi="Titillium"/>
          <w:sz w:val="20"/>
          <w:szCs w:val="20"/>
        </w:rPr>
        <w:t>la sezione Trasparenza del PTPC</w:t>
      </w:r>
      <w:r w:rsidR="00893412" w:rsidRPr="00C5488A">
        <w:rPr>
          <w:rFonts w:ascii="Titillium" w:hAnsi="Titillium"/>
          <w:sz w:val="20"/>
          <w:szCs w:val="20"/>
        </w:rPr>
        <w:t>T</w:t>
      </w:r>
      <w:r w:rsidR="00F81E69" w:rsidRPr="00C5488A">
        <w:rPr>
          <w:rFonts w:ascii="Titillium" w:hAnsi="Titillium"/>
          <w:sz w:val="20"/>
          <w:szCs w:val="20"/>
        </w:rPr>
        <w:t xml:space="preserve"> </w:t>
      </w:r>
      <w:r w:rsidR="007F0BC7" w:rsidRPr="00C5488A">
        <w:rPr>
          <w:rFonts w:ascii="Titillium" w:hAnsi="Titillium"/>
          <w:sz w:val="20"/>
          <w:szCs w:val="20"/>
        </w:rPr>
        <w:t>i responsabili della trasmissione e della pubblicazione dei documenti, delle informazioni e dei dati ai sensi dell’art. 10 del d.lgs. 33/2013;</w:t>
      </w:r>
    </w:p>
    <w:p w14:paraId="44A942CA" w14:textId="77777777" w:rsidR="004619A1" w:rsidRPr="00B538D7" w:rsidRDefault="000B7CB8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trike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Pr="00B538D7">
        <w:rPr>
          <w:rFonts w:ascii="Titillium" w:hAnsi="Titillium"/>
          <w:caps/>
          <w:strike/>
          <w:sz w:val="20"/>
          <w:szCs w:val="20"/>
        </w:rPr>
        <w:t>l’</w:t>
      </w:r>
      <w:r w:rsidRPr="00B538D7">
        <w:rPr>
          <w:rFonts w:ascii="Titillium" w:hAnsi="Titillium"/>
          <w:strike/>
          <w:sz w:val="20"/>
          <w:szCs w:val="20"/>
        </w:rPr>
        <w:t xml:space="preserve">amministrazione/ente </w:t>
      </w:r>
      <w:r w:rsidRPr="00B538D7">
        <w:rPr>
          <w:rFonts w:ascii="Titillium" w:hAnsi="Titillium"/>
          <w:strike/>
          <w:sz w:val="20"/>
          <w:szCs w:val="20"/>
          <w:u w:val="single"/>
        </w:rPr>
        <w:t>NON</w:t>
      </w:r>
      <w:r w:rsidRPr="00B538D7">
        <w:rPr>
          <w:rFonts w:ascii="Titillium" w:hAnsi="Titillium"/>
          <w:strike/>
          <w:sz w:val="20"/>
          <w:szCs w:val="20"/>
        </w:rPr>
        <w:t xml:space="preserve"> ha individuato </w:t>
      </w:r>
      <w:r w:rsidR="00F81E69" w:rsidRPr="00B538D7">
        <w:rPr>
          <w:rFonts w:ascii="Titillium" w:hAnsi="Titillium"/>
          <w:strike/>
          <w:sz w:val="20"/>
          <w:szCs w:val="20"/>
        </w:rPr>
        <w:t>nel</w:t>
      </w:r>
      <w:r w:rsidR="00BF1924" w:rsidRPr="00B538D7">
        <w:rPr>
          <w:rFonts w:ascii="Titillium" w:hAnsi="Titillium"/>
          <w:strike/>
          <w:sz w:val="20"/>
          <w:szCs w:val="20"/>
        </w:rPr>
        <w:t>la sezione Trasparenza del PTPC</w:t>
      </w:r>
      <w:r w:rsidR="00893412" w:rsidRPr="00B538D7">
        <w:rPr>
          <w:rFonts w:ascii="Titillium" w:hAnsi="Titillium"/>
          <w:strike/>
          <w:sz w:val="20"/>
          <w:szCs w:val="20"/>
        </w:rPr>
        <w:t>T</w:t>
      </w:r>
      <w:r w:rsidR="00F81E69" w:rsidRPr="00B538D7">
        <w:rPr>
          <w:rFonts w:ascii="Titillium" w:hAnsi="Titillium"/>
          <w:strike/>
          <w:sz w:val="20"/>
          <w:szCs w:val="20"/>
        </w:rPr>
        <w:t xml:space="preserve"> </w:t>
      </w:r>
      <w:r w:rsidRPr="00B538D7">
        <w:rPr>
          <w:rFonts w:ascii="Titillium" w:hAnsi="Titillium"/>
          <w:strike/>
          <w:sz w:val="20"/>
          <w:szCs w:val="20"/>
        </w:rPr>
        <w:t>i responsabili della trasmissione e della pubblicazione dei documenti, delle informazioni e dei dati ai sensi dell’art. 10 del d.lgs. 33/2013;</w:t>
      </w:r>
    </w:p>
    <w:p w14:paraId="2C742A88" w14:textId="77777777"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7F907380" w14:textId="77777777" w:rsidR="004619A1" w:rsidRPr="00C5488A" w:rsidRDefault="00674A85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sz w:val="20"/>
          <w:szCs w:val="20"/>
        </w:rPr>
        <w:t xml:space="preserve"> </w:t>
      </w:r>
      <w:r w:rsidR="004619A1"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NON </w:t>
      </w:r>
      <w:r w:rsidR="004619A1" w:rsidRPr="00C5488A">
        <w:rPr>
          <w:rFonts w:ascii="Titillium" w:hAnsi="Titillium"/>
          <w:sz w:val="20"/>
          <w:szCs w:val="20"/>
        </w:rPr>
        <w:t>ha dispo</w:t>
      </w:r>
      <w:r w:rsidR="00FB22A4" w:rsidRPr="00C5488A">
        <w:rPr>
          <w:rFonts w:ascii="Titillium" w:hAnsi="Titillium"/>
          <w:sz w:val="20"/>
          <w:szCs w:val="20"/>
        </w:rPr>
        <w:t xml:space="preserve">sto filtri </w:t>
      </w:r>
      <w:r w:rsidR="00FB22A4" w:rsidRPr="00C5488A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4619A1" w:rsidRPr="00C5488A">
        <w:rPr>
          <w:rFonts w:ascii="Titillium" w:hAnsi="Titillium"/>
          <w:sz w:val="20"/>
          <w:szCs w:val="20"/>
        </w:rPr>
        <w:t xml:space="preserve">altre soluzioni tecniche atte ad impedire ai motori di ricerca </w:t>
      </w:r>
      <w:r w:rsidR="004619A1" w:rsidRPr="00C5488A">
        <w:rPr>
          <w:rFonts w:ascii="Titillium" w:hAnsi="Titillium"/>
          <w:i/>
          <w:sz w:val="20"/>
          <w:szCs w:val="20"/>
        </w:rPr>
        <w:t>web</w:t>
      </w:r>
      <w:r w:rsidR="004619A1" w:rsidRPr="00C5488A">
        <w:rPr>
          <w:rFonts w:ascii="Titillium" w:hAnsi="Titillium"/>
          <w:sz w:val="20"/>
          <w:szCs w:val="20"/>
        </w:rPr>
        <w:t xml:space="preserve"> di indicizzare ed effettuare ricerche all’interno della sezione AT, salvo le ipotesi consentite dalla normativa vigente;</w:t>
      </w:r>
    </w:p>
    <w:p w14:paraId="63ABFC5E" w14:textId="77777777" w:rsidR="004619A1" w:rsidRPr="00C5488A" w:rsidRDefault="00674A85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B538D7">
        <w:rPr>
          <w:rFonts w:ascii="Courier New" w:hAnsi="Courier New" w:cs="Courier New"/>
          <w:strike/>
          <w:sz w:val="20"/>
          <w:szCs w:val="20"/>
        </w:rPr>
        <w:t>□</w:t>
      </w:r>
      <w:r w:rsidRPr="00B538D7">
        <w:rPr>
          <w:rFonts w:ascii="Titillium" w:hAnsi="Titillium"/>
          <w:strike/>
          <w:sz w:val="20"/>
          <w:szCs w:val="20"/>
        </w:rPr>
        <w:t xml:space="preserve"> </w:t>
      </w:r>
      <w:r w:rsidR="004619A1" w:rsidRPr="00B538D7">
        <w:rPr>
          <w:rFonts w:ascii="Titillium" w:hAnsi="Titillium"/>
          <w:caps/>
          <w:strike/>
          <w:sz w:val="20"/>
          <w:szCs w:val="20"/>
        </w:rPr>
        <w:t>L’</w:t>
      </w:r>
      <w:r w:rsidRPr="00B538D7">
        <w:rPr>
          <w:rFonts w:ascii="Titillium" w:hAnsi="Titillium"/>
          <w:strike/>
          <w:sz w:val="20"/>
          <w:szCs w:val="20"/>
        </w:rPr>
        <w:t xml:space="preserve">amministrazione/ente </w:t>
      </w:r>
      <w:r w:rsidR="004619A1" w:rsidRPr="00B538D7">
        <w:rPr>
          <w:rFonts w:ascii="Titillium" w:hAnsi="Titillium"/>
          <w:strike/>
          <w:sz w:val="20"/>
          <w:szCs w:val="20"/>
        </w:rPr>
        <w:t>ha disposto filtri</w:t>
      </w:r>
      <w:r w:rsidRPr="00B538D7">
        <w:rPr>
          <w:rFonts w:ascii="Titillium" w:hAnsi="Titillium"/>
          <w:strike/>
          <w:sz w:val="20"/>
          <w:szCs w:val="20"/>
        </w:rPr>
        <w:t xml:space="preserve"> </w:t>
      </w:r>
      <w:r w:rsidR="00FB22A4" w:rsidRPr="00B538D7">
        <w:rPr>
          <w:rFonts w:ascii="Titillium" w:eastAsiaTheme="minorHAnsi" w:hAnsi="Titillium" w:cstheme="minorBidi"/>
          <w:strike/>
          <w:sz w:val="20"/>
          <w:szCs w:val="20"/>
          <w:lang w:eastAsia="en-US"/>
        </w:rPr>
        <w:t xml:space="preserve">e/o </w:t>
      </w:r>
      <w:r w:rsidR="004619A1" w:rsidRPr="00B538D7">
        <w:rPr>
          <w:rFonts w:ascii="Titillium" w:hAnsi="Titillium"/>
          <w:strike/>
          <w:sz w:val="20"/>
          <w:szCs w:val="20"/>
        </w:rPr>
        <w:t>altre soluzioni tecniche atte ad impedire ai motori</w:t>
      </w:r>
      <w:r w:rsidR="00E703E1" w:rsidRPr="00B538D7">
        <w:rPr>
          <w:rFonts w:ascii="Titillium" w:hAnsi="Titillium"/>
          <w:strike/>
          <w:sz w:val="20"/>
          <w:szCs w:val="20"/>
        </w:rPr>
        <w:t xml:space="preserve"> </w:t>
      </w:r>
      <w:r w:rsidR="004619A1" w:rsidRPr="00B538D7">
        <w:rPr>
          <w:rFonts w:ascii="Titillium" w:hAnsi="Titillium"/>
          <w:strike/>
          <w:sz w:val="20"/>
          <w:szCs w:val="20"/>
        </w:rPr>
        <w:t xml:space="preserve">di ricerca </w:t>
      </w:r>
      <w:r w:rsidR="004619A1" w:rsidRPr="00B538D7">
        <w:rPr>
          <w:rFonts w:ascii="Titillium" w:hAnsi="Titillium"/>
          <w:i/>
          <w:strike/>
          <w:sz w:val="20"/>
          <w:szCs w:val="20"/>
        </w:rPr>
        <w:lastRenderedPageBreak/>
        <w:t>web</w:t>
      </w:r>
      <w:r w:rsidR="004619A1" w:rsidRPr="00B538D7">
        <w:rPr>
          <w:rFonts w:ascii="Titillium" w:hAnsi="Titillium"/>
          <w:strike/>
          <w:sz w:val="20"/>
          <w:szCs w:val="20"/>
        </w:rPr>
        <w:t xml:space="preserve"> di indicizzare ed effettuare ricerc</w:t>
      </w:r>
      <w:r w:rsidR="00931D8D" w:rsidRPr="00B538D7">
        <w:rPr>
          <w:rFonts w:ascii="Titillium" w:hAnsi="Titillium"/>
          <w:strike/>
          <w:sz w:val="20"/>
          <w:szCs w:val="20"/>
        </w:rPr>
        <w:t>he all’interno della sezione AT</w:t>
      </w:r>
      <w:r w:rsidR="00931D8D" w:rsidRPr="00C5488A">
        <w:rPr>
          <w:rFonts w:ascii="Titillium" w:hAnsi="Titillium"/>
          <w:sz w:val="20"/>
          <w:szCs w:val="20"/>
        </w:rPr>
        <w:t>.</w:t>
      </w:r>
    </w:p>
    <w:p w14:paraId="57FDA08D" w14:textId="77777777" w:rsidR="00E5425E" w:rsidRPr="00C5488A" w:rsidRDefault="00E5425E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38052B79" w14:textId="77777777" w:rsidR="00851A73" w:rsidRPr="00C5488A" w:rsidRDefault="00851A73" w:rsidP="001E200A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</w:p>
    <w:p w14:paraId="39618A2A" w14:textId="77777777" w:rsidR="004E3FEA" w:rsidRPr="00C5488A" w:rsidRDefault="00782E5B" w:rsidP="001E200A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la veridicità</w:t>
      </w:r>
      <w:r w:rsidR="00066D41" w:rsidRPr="00C5488A">
        <w:rPr>
          <w:rStyle w:val="Rimandonotaapidipagina"/>
          <w:rFonts w:ascii="Titillium" w:hAnsi="Titillium" w:cs="Times New Roman"/>
          <w:sz w:val="12"/>
          <w:szCs w:val="12"/>
        </w:rPr>
        <w:footnoteReference w:id="1"/>
      </w:r>
      <w:r w:rsidR="00066D41" w:rsidRPr="00C5488A">
        <w:rPr>
          <w:rFonts w:ascii="Titillium" w:hAnsi="Titillium" w:cs="Times New Roman"/>
          <w:sz w:val="12"/>
          <w:szCs w:val="12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e l’attendibilità, alla data dell’attestazione</w:t>
      </w:r>
      <w:r w:rsidRPr="00C5488A">
        <w:rPr>
          <w:rFonts w:ascii="Titillium" w:hAnsi="Titillium"/>
          <w:sz w:val="20"/>
          <w:szCs w:val="20"/>
        </w:rPr>
        <w:t>,</w:t>
      </w:r>
      <w:r w:rsidRPr="00C5488A">
        <w:rPr>
          <w:rFonts w:ascii="Titillium" w:hAnsi="Titillium" w:cs="Times New Roman"/>
          <w:sz w:val="20"/>
          <w:szCs w:val="20"/>
        </w:rPr>
        <w:t xml:space="preserve"> di quanto riportato nell’Allegato</w:t>
      </w:r>
      <w:r w:rsidR="00A01D67" w:rsidRPr="00C5488A">
        <w:rPr>
          <w:rFonts w:ascii="Titillium" w:hAnsi="Titillium" w:cs="Times New Roman"/>
          <w:sz w:val="20"/>
          <w:szCs w:val="20"/>
        </w:rPr>
        <w:t xml:space="preserve"> 2</w:t>
      </w:r>
      <w:r w:rsidR="000B7CB8" w:rsidRPr="00C5488A">
        <w:rPr>
          <w:rFonts w:ascii="Titillium" w:hAnsi="Titillium" w:cs="Times New Roman"/>
          <w:sz w:val="20"/>
          <w:szCs w:val="20"/>
        </w:rPr>
        <w:t>.1</w:t>
      </w:r>
      <w:r w:rsidR="00E70D36" w:rsidRPr="00C5488A">
        <w:rPr>
          <w:rFonts w:ascii="Titillium" w:hAnsi="Titillium" w:cs="Times New Roman"/>
          <w:sz w:val="20"/>
          <w:szCs w:val="20"/>
        </w:rPr>
        <w:t>.</w:t>
      </w:r>
      <w:r w:rsidRPr="00C5488A"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rispetto a quanto pubblicat</w:t>
      </w:r>
      <w:r w:rsidRPr="00C5488A">
        <w:rPr>
          <w:rFonts w:ascii="Titillium" w:hAnsi="Titillium"/>
          <w:sz w:val="20"/>
          <w:szCs w:val="20"/>
        </w:rPr>
        <w:t>o sul si</w:t>
      </w:r>
      <w:r w:rsidR="000B7CB8" w:rsidRPr="00C5488A">
        <w:rPr>
          <w:rFonts w:ascii="Titillium" w:hAnsi="Titillium"/>
          <w:sz w:val="20"/>
          <w:szCs w:val="20"/>
        </w:rPr>
        <w:t>to dell’amministrazione/</w:t>
      </w:r>
      <w:r w:rsidRPr="00C5488A">
        <w:rPr>
          <w:rFonts w:ascii="Titillium" w:hAnsi="Titillium"/>
          <w:sz w:val="20"/>
          <w:szCs w:val="20"/>
        </w:rPr>
        <w:t>ente.</w:t>
      </w:r>
    </w:p>
    <w:p w14:paraId="6DFE327D" w14:textId="77777777" w:rsidR="004E3FEA" w:rsidRPr="00C5488A" w:rsidRDefault="004E3FEA" w:rsidP="001E200A">
      <w:pPr>
        <w:widowControl/>
        <w:spacing w:line="276" w:lineRule="auto"/>
        <w:rPr>
          <w:rFonts w:ascii="Titillium" w:hAnsi="Titillium" w:cs="Times New Roman"/>
          <w:sz w:val="20"/>
          <w:szCs w:val="20"/>
        </w:rPr>
      </w:pPr>
    </w:p>
    <w:p w14:paraId="4BE3DF51" w14:textId="66081B44" w:rsidR="00747FDE" w:rsidRDefault="00782E5B" w:rsidP="001E200A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Data </w:t>
      </w:r>
      <w:r w:rsidR="0042731B">
        <w:rPr>
          <w:rFonts w:ascii="Titillium" w:hAnsi="Titillium" w:cs="Times New Roman"/>
          <w:sz w:val="20"/>
          <w:szCs w:val="20"/>
        </w:rPr>
        <w:t>25</w:t>
      </w:r>
      <w:r w:rsidR="00B538D7">
        <w:rPr>
          <w:rFonts w:ascii="Titillium" w:hAnsi="Titillium" w:cs="Times New Roman"/>
          <w:sz w:val="20"/>
          <w:szCs w:val="20"/>
        </w:rPr>
        <w:t>.6.2021</w:t>
      </w:r>
    </w:p>
    <w:p w14:paraId="4BBC8924" w14:textId="600AEEF8" w:rsidR="00B538D7" w:rsidRPr="00C5488A" w:rsidRDefault="00B538D7" w:rsidP="001E200A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Dott. Arturo Bianco</w:t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</w:p>
    <w:p w14:paraId="1BB554B6" w14:textId="77777777" w:rsidR="004D0B49" w:rsidRPr="00EF325A" w:rsidRDefault="004D0B49" w:rsidP="004D0B49">
      <w:pPr>
        <w:rPr>
          <w:rFonts w:ascii="Arial" w:hAnsi="Arial" w:cs="Arial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67F97AC" wp14:editId="37EA54E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 descr="Immagine che contiene es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estern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52A678AD" w14:textId="504C5713" w:rsidR="004E3FEA" w:rsidRPr="00C5488A" w:rsidRDefault="004E3FEA" w:rsidP="004D0B49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sectPr w:rsidR="004E3FEA" w:rsidRPr="00C548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E9362" w14:textId="77777777" w:rsidR="009E6BB8" w:rsidRDefault="009E6BB8">
      <w:pPr>
        <w:spacing w:after="0" w:line="240" w:lineRule="auto"/>
      </w:pPr>
      <w:r>
        <w:separator/>
      </w:r>
    </w:p>
  </w:endnote>
  <w:endnote w:type="continuationSeparator" w:id="0">
    <w:p w14:paraId="3208A22A" w14:textId="77777777" w:rsidR="009E6BB8" w:rsidRDefault="009E6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64717" w14:textId="77777777" w:rsidR="00B91F3C" w:rsidRDefault="00B91F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44766" w14:textId="77777777" w:rsidR="00B91F3C" w:rsidRDefault="00B91F3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3C2A9" w14:textId="77777777" w:rsidR="00B91F3C" w:rsidRDefault="00B91F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DC2D8" w14:textId="77777777" w:rsidR="009E6BB8" w:rsidRDefault="009E6BB8">
      <w:r>
        <w:separator/>
      </w:r>
    </w:p>
  </w:footnote>
  <w:footnote w:type="continuationSeparator" w:id="0">
    <w:p w14:paraId="769663F5" w14:textId="77777777" w:rsidR="009E6BB8" w:rsidRDefault="009E6BB8">
      <w:r>
        <w:continuationSeparator/>
      </w:r>
    </w:p>
  </w:footnote>
  <w:footnote w:id="1">
    <w:p w14:paraId="55CD7F79" w14:textId="77777777" w:rsidR="00066D41" w:rsidRDefault="00066D41" w:rsidP="001E200A">
      <w:pPr>
        <w:pStyle w:val="Testonotaapidipagina"/>
        <w:spacing w:line="240" w:lineRule="auto"/>
      </w:pPr>
      <w:r w:rsidRPr="001E200A">
        <w:rPr>
          <w:rStyle w:val="Rimandonotaapidipagina"/>
          <w:rFonts w:ascii="Titillium" w:hAnsi="Titillium"/>
          <w:sz w:val="12"/>
          <w:szCs w:val="12"/>
        </w:rPr>
        <w:footnoteRef/>
      </w:r>
      <w:r w:rsidRPr="00AA64A3">
        <w:rPr>
          <w:rFonts w:ascii="Titillium" w:hAnsi="Titillium"/>
          <w:sz w:val="18"/>
          <w:szCs w:val="18"/>
        </w:rPr>
        <w:t>Il concetto di veridicità è inteso qui come conformità tr</w:t>
      </w:r>
      <w:r w:rsidR="00FE5393" w:rsidRPr="00AA64A3">
        <w:rPr>
          <w:rFonts w:ascii="Titillium" w:hAnsi="Titillium"/>
          <w:sz w:val="18"/>
          <w:szCs w:val="18"/>
        </w:rPr>
        <w:t xml:space="preserve">a quanto rilevato dall’OIV/altro organismo </w:t>
      </w:r>
      <w:r w:rsidRPr="00AA64A3">
        <w:rPr>
          <w:rFonts w:ascii="Titillium" w:hAnsi="Titillium"/>
          <w:sz w:val="18"/>
          <w:szCs w:val="18"/>
        </w:rPr>
        <w:t xml:space="preserve">con funzioni analoghe nell’Allegato </w:t>
      </w:r>
      <w:r w:rsidR="00727F6D" w:rsidRPr="00AA64A3">
        <w:rPr>
          <w:rFonts w:ascii="Titillium" w:hAnsi="Titillium"/>
          <w:sz w:val="18"/>
          <w:szCs w:val="18"/>
        </w:rPr>
        <w:t>2.1</w:t>
      </w:r>
      <w:r w:rsidRPr="00AA64A3">
        <w:rPr>
          <w:rFonts w:ascii="Titillium" w:hAnsi="Titillium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CA86E" w14:textId="77777777" w:rsidR="00B91F3C" w:rsidRDefault="00B91F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5C722" w14:textId="77777777" w:rsidR="004E3FEA" w:rsidRPr="00B91F3C" w:rsidRDefault="00782E5B" w:rsidP="00B91F3C">
    <w:pPr>
      <w:pStyle w:val="Intestazione"/>
      <w:spacing w:line="276" w:lineRule="auto"/>
      <w:rPr>
        <w:rFonts w:ascii="Titillium" w:hAnsi="Titillium"/>
        <w:b/>
        <w:sz w:val="20"/>
        <w:szCs w:val="20"/>
        <w:u w:val="single"/>
      </w:rPr>
    </w:pPr>
    <w:r w:rsidRPr="00B91F3C">
      <w:rPr>
        <w:rFonts w:ascii="Titillium" w:hAnsi="Titillium"/>
        <w:b/>
        <w:sz w:val="20"/>
        <w:szCs w:val="20"/>
      </w:rPr>
      <w:t xml:space="preserve">Allegato </w:t>
    </w:r>
    <w:r w:rsidR="00DF2E3B" w:rsidRPr="00B91F3C">
      <w:rPr>
        <w:rFonts w:ascii="Titillium" w:hAnsi="Titillium"/>
        <w:b/>
        <w:sz w:val="20"/>
        <w:szCs w:val="20"/>
      </w:rPr>
      <w:t>1</w:t>
    </w:r>
    <w:r w:rsidR="000B7CB8" w:rsidRPr="00B91F3C">
      <w:rPr>
        <w:rFonts w:ascii="Titillium" w:hAnsi="Titillium"/>
        <w:b/>
        <w:sz w:val="20"/>
        <w:szCs w:val="20"/>
      </w:rPr>
      <w:t>.1</w:t>
    </w:r>
    <w:r w:rsidRPr="00B91F3C">
      <w:rPr>
        <w:rFonts w:ascii="Titillium" w:hAnsi="Titillium"/>
        <w:b/>
        <w:sz w:val="20"/>
        <w:szCs w:val="20"/>
      </w:rPr>
      <w:t xml:space="preserve"> alla </w:t>
    </w:r>
    <w:r w:rsidRPr="00B91F3C">
      <w:rPr>
        <w:rFonts w:ascii="Titillium" w:hAnsi="Titillium" w:cs="Times New Roman"/>
        <w:b/>
        <w:sz w:val="20"/>
        <w:szCs w:val="20"/>
      </w:rPr>
      <w:t>delibera</w:t>
    </w:r>
    <w:r w:rsidR="009C497A" w:rsidRPr="00B91F3C">
      <w:rPr>
        <w:rFonts w:ascii="Titillium" w:hAnsi="Titillium" w:cs="Times New Roman"/>
        <w:b/>
        <w:sz w:val="20"/>
        <w:szCs w:val="20"/>
      </w:rPr>
      <w:t xml:space="preserve"> ANAC</w:t>
    </w:r>
    <w:r w:rsidRPr="00B91F3C">
      <w:rPr>
        <w:rFonts w:ascii="Titillium" w:hAnsi="Titillium" w:cs="Times New Roman"/>
        <w:b/>
        <w:sz w:val="20"/>
        <w:szCs w:val="20"/>
      </w:rPr>
      <w:t xml:space="preserve"> 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n. </w:t>
    </w:r>
    <w:r w:rsidR="00084790" w:rsidRPr="00B91F3C">
      <w:rPr>
        <w:rFonts w:ascii="Titillium" w:hAnsi="Titillium" w:cs="Times New Roman"/>
        <w:b/>
        <w:sz w:val="20"/>
        <w:szCs w:val="20"/>
      </w:rPr>
      <w:t>294</w:t>
    </w:r>
    <w:r w:rsidR="005F5B0C" w:rsidRPr="00B91F3C">
      <w:rPr>
        <w:rFonts w:ascii="Titillium" w:hAnsi="Titillium" w:cs="Times New Roman"/>
        <w:b/>
        <w:sz w:val="20"/>
        <w:szCs w:val="20"/>
      </w:rPr>
      <w:t>/202</w:t>
    </w:r>
    <w:r w:rsidR="00A30748" w:rsidRPr="00B91F3C">
      <w:rPr>
        <w:rFonts w:ascii="Titillium" w:hAnsi="Titillium" w:cs="Times New Roman"/>
        <w:b/>
        <w:sz w:val="20"/>
        <w:szCs w:val="20"/>
      </w:rPr>
      <w:t>1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</w:rPr>
      <w:t>–</w:t>
    </w:r>
    <w:r w:rsidR="00BF1924" w:rsidRPr="00B91F3C">
      <w:rPr>
        <w:rFonts w:ascii="Titillium" w:hAnsi="Titillium"/>
        <w:b/>
        <w:sz w:val="20"/>
        <w:szCs w:val="20"/>
      </w:rPr>
      <w:t xml:space="preserve"> </w:t>
    </w:r>
    <w:r w:rsidRPr="00B91F3C">
      <w:rPr>
        <w:rFonts w:ascii="Titillium" w:hAnsi="Titillium"/>
        <w:b/>
        <w:sz w:val="20"/>
        <w:szCs w:val="20"/>
      </w:rPr>
      <w:t>Documento di attestazione</w:t>
    </w:r>
    <w:r w:rsidR="000B7CB8" w:rsidRPr="00B91F3C">
      <w:rPr>
        <w:rFonts w:ascii="Titillium" w:hAnsi="Titillium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  <w:u w:val="single"/>
      </w:rPr>
      <w:t>per le pubbl</w:t>
    </w:r>
    <w:r w:rsidR="00727F6D" w:rsidRPr="00B91F3C">
      <w:rPr>
        <w:rFonts w:ascii="Titillium" w:hAnsi="Titillium"/>
        <w:b/>
        <w:sz w:val="20"/>
        <w:szCs w:val="20"/>
        <w:u w:val="single"/>
      </w:rPr>
      <w:t xml:space="preserve">iche amministrazioni di cui al </w:t>
    </w:r>
    <w:r w:rsidR="000B7CB8" w:rsidRPr="00B91F3C">
      <w:rPr>
        <w:rFonts w:ascii="Titillium" w:hAnsi="Titillium"/>
        <w:b/>
        <w:sz w:val="20"/>
        <w:szCs w:val="20"/>
        <w:u w:val="single"/>
      </w:rPr>
      <w:t>§ 1.1.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A9723" w14:textId="77777777" w:rsidR="00B91F3C" w:rsidRDefault="00B91F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EA"/>
    <w:rsid w:val="00011339"/>
    <w:rsid w:val="00066D41"/>
    <w:rsid w:val="00084790"/>
    <w:rsid w:val="000B0E9A"/>
    <w:rsid w:val="000B7CB8"/>
    <w:rsid w:val="000C1504"/>
    <w:rsid w:val="000C371F"/>
    <w:rsid w:val="000D5314"/>
    <w:rsid w:val="000F5BF6"/>
    <w:rsid w:val="00112C69"/>
    <w:rsid w:val="00113654"/>
    <w:rsid w:val="001321A7"/>
    <w:rsid w:val="00167FEA"/>
    <w:rsid w:val="00193B7A"/>
    <w:rsid w:val="001C3EFA"/>
    <w:rsid w:val="001E200A"/>
    <w:rsid w:val="001E538C"/>
    <w:rsid w:val="001F4C4E"/>
    <w:rsid w:val="00246B3B"/>
    <w:rsid w:val="0027396B"/>
    <w:rsid w:val="00324847"/>
    <w:rsid w:val="003526DB"/>
    <w:rsid w:val="00377F0E"/>
    <w:rsid w:val="00417308"/>
    <w:rsid w:val="0042731B"/>
    <w:rsid w:val="00452424"/>
    <w:rsid w:val="004619A1"/>
    <w:rsid w:val="004869E2"/>
    <w:rsid w:val="004B3307"/>
    <w:rsid w:val="004D0B49"/>
    <w:rsid w:val="004E3FEA"/>
    <w:rsid w:val="005148C3"/>
    <w:rsid w:val="005314E6"/>
    <w:rsid w:val="005345A7"/>
    <w:rsid w:val="005E04C0"/>
    <w:rsid w:val="005E3451"/>
    <w:rsid w:val="005F5B0C"/>
    <w:rsid w:val="00600B7E"/>
    <w:rsid w:val="00602524"/>
    <w:rsid w:val="006117D6"/>
    <w:rsid w:val="006457A5"/>
    <w:rsid w:val="006626ED"/>
    <w:rsid w:val="00674A85"/>
    <w:rsid w:val="006C4F57"/>
    <w:rsid w:val="00727F6D"/>
    <w:rsid w:val="00747FDE"/>
    <w:rsid w:val="00764C40"/>
    <w:rsid w:val="0077435D"/>
    <w:rsid w:val="00782E5B"/>
    <w:rsid w:val="007E3898"/>
    <w:rsid w:val="007F0BC7"/>
    <w:rsid w:val="00851A73"/>
    <w:rsid w:val="00863793"/>
    <w:rsid w:val="00893412"/>
    <w:rsid w:val="0092201A"/>
    <w:rsid w:val="00926F50"/>
    <w:rsid w:val="00931D8D"/>
    <w:rsid w:val="009517B8"/>
    <w:rsid w:val="00987C24"/>
    <w:rsid w:val="009B3EC4"/>
    <w:rsid w:val="009C497A"/>
    <w:rsid w:val="009D2F2E"/>
    <w:rsid w:val="009E3A14"/>
    <w:rsid w:val="009E6BB8"/>
    <w:rsid w:val="00A01D67"/>
    <w:rsid w:val="00A30748"/>
    <w:rsid w:val="00A431C2"/>
    <w:rsid w:val="00A928DF"/>
    <w:rsid w:val="00A93462"/>
    <w:rsid w:val="00AA64A3"/>
    <w:rsid w:val="00AD1A69"/>
    <w:rsid w:val="00AE0527"/>
    <w:rsid w:val="00AF286D"/>
    <w:rsid w:val="00B15635"/>
    <w:rsid w:val="00B3568E"/>
    <w:rsid w:val="00B505D1"/>
    <w:rsid w:val="00B538D7"/>
    <w:rsid w:val="00B91F3C"/>
    <w:rsid w:val="00BC601A"/>
    <w:rsid w:val="00BE32EF"/>
    <w:rsid w:val="00BF1924"/>
    <w:rsid w:val="00C017C6"/>
    <w:rsid w:val="00C037C3"/>
    <w:rsid w:val="00C13E06"/>
    <w:rsid w:val="00C205DD"/>
    <w:rsid w:val="00C5488A"/>
    <w:rsid w:val="00C67BB2"/>
    <w:rsid w:val="00CD5018"/>
    <w:rsid w:val="00CE4B1E"/>
    <w:rsid w:val="00CE685E"/>
    <w:rsid w:val="00D128BF"/>
    <w:rsid w:val="00D2519E"/>
    <w:rsid w:val="00DA74D8"/>
    <w:rsid w:val="00DC3EB5"/>
    <w:rsid w:val="00DE47DF"/>
    <w:rsid w:val="00DF2E3B"/>
    <w:rsid w:val="00E5425E"/>
    <w:rsid w:val="00E703E1"/>
    <w:rsid w:val="00E70D36"/>
    <w:rsid w:val="00E70EBB"/>
    <w:rsid w:val="00E8003A"/>
    <w:rsid w:val="00E93B7A"/>
    <w:rsid w:val="00EF3010"/>
    <w:rsid w:val="00F070D7"/>
    <w:rsid w:val="00F70C0B"/>
    <w:rsid w:val="00F81E69"/>
    <w:rsid w:val="00FB22A4"/>
    <w:rsid w:val="00FD5F94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B667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34"/>
    <w:qFormat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8B14F-469C-4487-8B73-FAB3F0772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Arturo Bianco</cp:lastModifiedBy>
  <cp:revision>3</cp:revision>
  <cp:lastPrinted>2019-02-26T09:22:00Z</cp:lastPrinted>
  <dcterms:created xsi:type="dcterms:W3CDTF">2021-06-26T16:01:00Z</dcterms:created>
  <dcterms:modified xsi:type="dcterms:W3CDTF">2021-06-26T16:01:00Z</dcterms:modified>
</cp:coreProperties>
</file>