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8B73D" w14:textId="17A67D20" w:rsidR="002155AE" w:rsidRPr="00C5488A" w:rsidRDefault="002155AE" w:rsidP="002155AE">
      <w:pPr>
        <w:pageBreakBefore/>
        <w:spacing w:after="0" w:line="276" w:lineRule="auto"/>
        <w:rPr>
          <w:rFonts w:ascii="Titillium" w:hAnsi="Titillium" w:cs="Times New Roman"/>
          <w:sz w:val="20"/>
          <w:szCs w:val="20"/>
        </w:rPr>
      </w:pPr>
      <w:r>
        <w:rPr>
          <w:rFonts w:ascii="Titillium" w:hAnsi="Titillium" w:cs="Times New Roman"/>
          <w:sz w:val="20"/>
          <w:szCs w:val="20"/>
        </w:rPr>
        <w:t xml:space="preserve">COMUNE </w:t>
      </w:r>
      <w:proofErr w:type="gramStart"/>
      <w:r>
        <w:rPr>
          <w:rFonts w:ascii="Titillium" w:hAnsi="Titillium" w:cs="Times New Roman"/>
          <w:sz w:val="20"/>
          <w:szCs w:val="20"/>
        </w:rPr>
        <w:t xml:space="preserve">DI  </w:t>
      </w:r>
      <w:r>
        <w:rPr>
          <w:rFonts w:ascii="Titillium" w:hAnsi="Titillium" w:cs="Times New Roman"/>
          <w:sz w:val="20"/>
          <w:szCs w:val="20"/>
        </w:rPr>
        <w:t>SAN</w:t>
      </w:r>
      <w:proofErr w:type="gramEnd"/>
      <w:r>
        <w:rPr>
          <w:rFonts w:ascii="Titillium" w:hAnsi="Titillium" w:cs="Times New Roman"/>
          <w:sz w:val="20"/>
          <w:szCs w:val="20"/>
        </w:rPr>
        <w:t xml:space="preserve"> NICOLO’ D’ARCIDANO</w:t>
      </w:r>
      <w:r>
        <w:rPr>
          <w:rFonts w:ascii="Titillium" w:hAnsi="Titillium" w:cs="Times New Roman"/>
          <w:sz w:val="20"/>
          <w:szCs w:val="20"/>
        </w:rPr>
        <w:t>- NUCLEO DI VALUTAZIONE</w:t>
      </w:r>
    </w:p>
    <w:p w14:paraId="257A8836" w14:textId="77777777" w:rsidR="002155AE" w:rsidRPr="00C5488A" w:rsidRDefault="002155AE" w:rsidP="002155AE">
      <w:pPr>
        <w:spacing w:before="240" w:after="240" w:line="276" w:lineRule="auto"/>
        <w:jc w:val="center"/>
        <w:rPr>
          <w:rFonts w:ascii="Titillium" w:hAnsi="Titillium" w:cs="Times New Roman"/>
          <w:b/>
          <w:bCs/>
          <w:sz w:val="20"/>
          <w:szCs w:val="20"/>
        </w:rPr>
      </w:pPr>
    </w:p>
    <w:p w14:paraId="68C84C6B" w14:textId="77777777" w:rsidR="002155AE" w:rsidRPr="00C5488A" w:rsidRDefault="002155AE" w:rsidP="002155AE">
      <w:pPr>
        <w:spacing w:before="240" w:after="240" w:line="276" w:lineRule="auto"/>
        <w:jc w:val="center"/>
        <w:rPr>
          <w:rFonts w:ascii="Titillium" w:hAnsi="Titillium" w:cs="Times New Roman"/>
          <w:b/>
          <w:bCs/>
          <w:sz w:val="20"/>
          <w:szCs w:val="20"/>
        </w:rPr>
      </w:pPr>
      <w:r w:rsidRPr="00C5488A">
        <w:rPr>
          <w:rFonts w:ascii="Titillium" w:hAnsi="Titillium" w:cs="Times New Roman"/>
          <w:b/>
          <w:bCs/>
          <w:sz w:val="20"/>
          <w:szCs w:val="20"/>
        </w:rPr>
        <w:t xml:space="preserve">Documento di attestazione </w:t>
      </w:r>
    </w:p>
    <w:p w14:paraId="672885AD" w14:textId="75BC8282" w:rsidR="002155AE" w:rsidRPr="00987C24" w:rsidRDefault="002155AE" w:rsidP="002155AE">
      <w:pPr>
        <w:pStyle w:val="Paragrafoelenco"/>
        <w:numPr>
          <w:ilvl w:val="0"/>
          <w:numId w:val="1"/>
        </w:numPr>
        <w:tabs>
          <w:tab w:val="left" w:pos="0"/>
        </w:tabs>
        <w:spacing w:before="120" w:after="0" w:line="276" w:lineRule="auto"/>
        <w:ind w:left="717"/>
        <w:rPr>
          <w:rFonts w:ascii="Titillium" w:hAnsi="Titillium" w:cs="Times New Roman"/>
          <w:color w:val="000000" w:themeColor="text1"/>
          <w:sz w:val="20"/>
          <w:szCs w:val="20"/>
        </w:rPr>
      </w:pPr>
      <w:r>
        <w:rPr>
          <w:rFonts w:ascii="Titillium" w:hAnsi="Titillium" w:cs="Times New Roman"/>
          <w:sz w:val="20"/>
          <w:szCs w:val="20"/>
        </w:rPr>
        <w:t>Il Nucleo di Valutazione del comune di</w:t>
      </w:r>
      <w:r w:rsidRPr="00C5488A">
        <w:rPr>
          <w:rFonts w:ascii="Titillium" w:hAnsi="Titillium" w:cs="Times New Roman"/>
          <w:sz w:val="20"/>
          <w:szCs w:val="20"/>
        </w:rPr>
        <w:t xml:space="preserve"> </w:t>
      </w:r>
      <w:r>
        <w:rPr>
          <w:rFonts w:ascii="Titillium" w:hAnsi="Titillium" w:cs="Times New Roman"/>
          <w:sz w:val="20"/>
          <w:szCs w:val="20"/>
        </w:rPr>
        <w:t xml:space="preserve">San Nicolò d’Arcidano </w:t>
      </w:r>
      <w:r w:rsidRPr="00C5488A">
        <w:rPr>
          <w:rFonts w:ascii="Titillium" w:hAnsi="Titillium" w:cs="Times New Roman"/>
          <w:sz w:val="20"/>
          <w:szCs w:val="20"/>
        </w:rPr>
        <w:t xml:space="preserve">ha effettuato, ai sensi dell’art. 14, co. 4, lett. g), del d.lgs. n. 150/2009 e delle </w:t>
      </w:r>
      <w:r w:rsidRPr="00C5488A">
        <w:rPr>
          <w:rFonts w:ascii="Titillium" w:hAnsi="Titillium" w:cs="Times New Roman"/>
          <w:b/>
          <w:sz w:val="20"/>
          <w:szCs w:val="20"/>
        </w:rPr>
        <w:t xml:space="preserve">delibere ANAC n. 1310/2016 e n. </w:t>
      </w:r>
      <w:r>
        <w:rPr>
          <w:rFonts w:ascii="Titillium" w:hAnsi="Titillium" w:cs="Times New Roman"/>
          <w:b/>
          <w:sz w:val="20"/>
          <w:szCs w:val="20"/>
        </w:rPr>
        <w:t>201</w:t>
      </w:r>
      <w:r w:rsidRPr="00C5488A">
        <w:rPr>
          <w:rFonts w:ascii="Titillium" w:hAnsi="Titillium" w:cs="Times New Roman"/>
          <w:b/>
          <w:sz w:val="20"/>
          <w:szCs w:val="20"/>
        </w:rPr>
        <w:t>/202</w:t>
      </w:r>
      <w:r>
        <w:rPr>
          <w:rFonts w:ascii="Titillium" w:hAnsi="Titillium" w:cs="Times New Roman"/>
          <w:b/>
          <w:sz w:val="20"/>
          <w:szCs w:val="20"/>
        </w:rPr>
        <w:t>2</w:t>
      </w:r>
      <w:r w:rsidRPr="00C5488A">
        <w:rPr>
          <w:rFonts w:ascii="Titillium" w:hAnsi="Titillium" w:cs="Times New Roman"/>
          <w:b/>
          <w:sz w:val="20"/>
          <w:szCs w:val="20"/>
        </w:rPr>
        <w:t xml:space="preserve">, </w:t>
      </w:r>
      <w:r w:rsidRPr="00C5488A">
        <w:rPr>
          <w:rFonts w:ascii="Titillium" w:hAnsi="Titillium" w:cs="Times New Roman"/>
          <w:sz w:val="20"/>
          <w:szCs w:val="20"/>
        </w:rPr>
        <w:t>la verifica sulla completezza</w:t>
      </w:r>
      <w:r>
        <w:rPr>
          <w:rFonts w:ascii="Titillium" w:hAnsi="Titillium" w:cs="Times New Roman"/>
          <w:sz w:val="20"/>
          <w:szCs w:val="20"/>
        </w:rPr>
        <w:t xml:space="preserve"> </w:t>
      </w:r>
      <w:r w:rsidRPr="00987C24">
        <w:rPr>
          <w:rFonts w:ascii="Titillium" w:hAnsi="Titillium" w:cs="Times New Roman"/>
          <w:color w:val="000000" w:themeColor="text1"/>
          <w:sz w:val="20"/>
          <w:szCs w:val="20"/>
        </w:rPr>
        <w:t xml:space="preserve">del formato di ciascun documento, dato ed informazione– Griglia di rilevazione al </w:t>
      </w:r>
      <w:r w:rsidRPr="006F7903">
        <w:rPr>
          <w:rFonts w:ascii="Titillium" w:hAnsi="Titillium" w:cs="Times New Roman"/>
          <w:b/>
          <w:color w:val="000000" w:themeColor="text1"/>
          <w:sz w:val="20"/>
          <w:szCs w:val="20"/>
        </w:rPr>
        <w:t xml:space="preserve">31 </w:t>
      </w:r>
      <w:r>
        <w:rPr>
          <w:rFonts w:ascii="Titillium" w:hAnsi="Titillium" w:cs="Times New Roman"/>
          <w:b/>
          <w:color w:val="000000" w:themeColor="text1"/>
          <w:sz w:val="20"/>
          <w:szCs w:val="20"/>
        </w:rPr>
        <w:t>ottobre</w:t>
      </w:r>
      <w:r w:rsidRPr="006F7903">
        <w:rPr>
          <w:rFonts w:ascii="Titillium" w:hAnsi="Titillium" w:cs="Times New Roman"/>
          <w:b/>
          <w:color w:val="000000" w:themeColor="text1"/>
          <w:sz w:val="20"/>
          <w:szCs w:val="20"/>
        </w:rPr>
        <w:t xml:space="preserve"> 2022 </w:t>
      </w:r>
      <w:r w:rsidRPr="006F7903">
        <w:rPr>
          <w:rFonts w:ascii="Titillium" w:hAnsi="Titillium" w:cs="Times New Roman"/>
          <w:color w:val="000000" w:themeColor="text1"/>
          <w:sz w:val="20"/>
          <w:szCs w:val="20"/>
        </w:rPr>
        <w:t>della</w:t>
      </w:r>
      <w:r w:rsidRPr="00987C24">
        <w:rPr>
          <w:rFonts w:ascii="Titillium" w:hAnsi="Titillium" w:cs="Times New Roman"/>
          <w:color w:val="000000" w:themeColor="text1"/>
          <w:sz w:val="20"/>
          <w:szCs w:val="20"/>
        </w:rPr>
        <w:t xml:space="preserve"> delibera n. </w:t>
      </w:r>
      <w:r>
        <w:rPr>
          <w:rFonts w:ascii="Titillium" w:hAnsi="Titillium" w:cs="Times New Roman"/>
          <w:color w:val="000000" w:themeColor="text1"/>
          <w:sz w:val="20"/>
          <w:szCs w:val="20"/>
        </w:rPr>
        <w:t>201</w:t>
      </w:r>
      <w:r w:rsidRPr="00987C24">
        <w:rPr>
          <w:rFonts w:ascii="Titillium" w:hAnsi="Titillium" w:cs="Times New Roman"/>
          <w:color w:val="000000" w:themeColor="text1"/>
          <w:sz w:val="20"/>
          <w:szCs w:val="20"/>
        </w:rPr>
        <w:t>/202</w:t>
      </w:r>
      <w:r>
        <w:rPr>
          <w:rFonts w:ascii="Titillium" w:hAnsi="Titillium" w:cs="Times New Roman"/>
          <w:color w:val="000000" w:themeColor="text1"/>
          <w:sz w:val="20"/>
          <w:szCs w:val="20"/>
        </w:rPr>
        <w:t>2</w:t>
      </w:r>
    </w:p>
    <w:p w14:paraId="189D31C4" w14:textId="77777777" w:rsidR="002155AE" w:rsidRPr="00C5488A" w:rsidRDefault="002155AE" w:rsidP="002155AE">
      <w:pPr>
        <w:pStyle w:val="Paragrafoelenco"/>
        <w:numPr>
          <w:ilvl w:val="0"/>
          <w:numId w:val="1"/>
        </w:numPr>
        <w:tabs>
          <w:tab w:val="left" w:pos="0"/>
        </w:tabs>
        <w:spacing w:before="120" w:after="0" w:line="276" w:lineRule="auto"/>
        <w:ind w:left="717"/>
        <w:rPr>
          <w:rFonts w:ascii="Titillium" w:hAnsi="Titillium" w:cs="Times New Roman"/>
          <w:sz w:val="20"/>
          <w:szCs w:val="20"/>
        </w:rPr>
      </w:pPr>
      <w:r>
        <w:rPr>
          <w:rFonts w:ascii="Titillium" w:hAnsi="Titillium" w:cs="Times New Roman"/>
          <w:sz w:val="20"/>
          <w:szCs w:val="20"/>
        </w:rPr>
        <w:t>Il Nucleo di Valutazione</w:t>
      </w:r>
      <w:r w:rsidRPr="00C5488A">
        <w:rPr>
          <w:rFonts w:ascii="Titillium" w:hAnsi="Titillium" w:cs="Times New Roman"/>
          <w:sz w:val="20"/>
          <w:szCs w:val="20"/>
        </w:rPr>
        <w:t xml:space="preserve"> ha svolto gli accertamenti:</w:t>
      </w:r>
    </w:p>
    <w:p w14:paraId="618ADF9A" w14:textId="77777777" w:rsidR="002155AE" w:rsidRPr="00C5488A" w:rsidRDefault="002155AE" w:rsidP="002155AE">
      <w:pPr>
        <w:pStyle w:val="Paragrafoelenco"/>
        <w:tabs>
          <w:tab w:val="left" w:pos="0"/>
        </w:tabs>
        <w:spacing w:before="120" w:after="0" w:line="276" w:lineRule="auto"/>
        <w:ind w:left="717" w:firstLine="0"/>
        <w:rPr>
          <w:rFonts w:ascii="Titillium" w:hAnsi="Titillium" w:cs="Times New Roman"/>
          <w:sz w:val="20"/>
          <w:szCs w:val="20"/>
        </w:rPr>
      </w:pPr>
      <w:r w:rsidRPr="00C5488A">
        <w:rPr>
          <w:rFonts w:ascii="Courier New" w:hAnsi="Courier New" w:cs="Courier New"/>
          <w:sz w:val="20"/>
          <w:szCs w:val="20"/>
        </w:rPr>
        <w:t>□</w:t>
      </w:r>
      <w:r w:rsidRPr="00C5488A">
        <w:rPr>
          <w:rFonts w:ascii="Titillium" w:hAnsi="Titillium" w:cs="Times New Roman"/>
          <w:sz w:val="20"/>
          <w:szCs w:val="20"/>
        </w:rPr>
        <w:t xml:space="preserve"> tenendo anche conto dei risultati e degli elementi emersi dall’attività di controllo sull’assolvimento degli obblighi di pubblicazione svolta dal Responsabile della prevenzione della corruzione e della trasparenza ai sensi dell’art. 43, co. 1, del d.lgs. n. 33/2013</w:t>
      </w:r>
      <w:r>
        <w:rPr>
          <w:rFonts w:ascii="Courier New" w:hAnsi="Courier New" w:cs="Courier New"/>
          <w:sz w:val="20"/>
          <w:szCs w:val="20"/>
        </w:rPr>
        <w:t>.</w:t>
      </w:r>
    </w:p>
    <w:p w14:paraId="27B10804" w14:textId="77777777" w:rsidR="002155AE" w:rsidRPr="00C5488A" w:rsidRDefault="002155AE" w:rsidP="002155AE">
      <w:pPr>
        <w:pStyle w:val="Paragrafoelenco"/>
        <w:spacing w:before="120" w:after="0" w:line="276" w:lineRule="auto"/>
        <w:ind w:left="360" w:firstLine="0"/>
        <w:rPr>
          <w:rFonts w:ascii="Titillium" w:hAnsi="Titillium" w:cs="Times New Roman"/>
          <w:sz w:val="20"/>
          <w:szCs w:val="20"/>
        </w:rPr>
      </w:pPr>
      <w:r w:rsidRPr="00C5488A">
        <w:rPr>
          <w:rFonts w:ascii="Titillium" w:hAnsi="Titillium" w:cs="Times New Roman"/>
          <w:sz w:val="20"/>
          <w:szCs w:val="20"/>
        </w:rPr>
        <w:t xml:space="preserve">Sulla base di quanto sopra, </w:t>
      </w:r>
      <w:r>
        <w:rPr>
          <w:rFonts w:ascii="Titillium" w:hAnsi="Titillium" w:cs="Times New Roman"/>
          <w:sz w:val="20"/>
          <w:szCs w:val="20"/>
        </w:rPr>
        <w:t>il Nucleo di Valutazione</w:t>
      </w:r>
      <w:r w:rsidRPr="00C5488A">
        <w:rPr>
          <w:rFonts w:ascii="Titillium" w:hAnsi="Titillium" w:cs="Times New Roman"/>
          <w:sz w:val="20"/>
          <w:szCs w:val="20"/>
        </w:rPr>
        <w:t>, ai sensi dell’art. 14, co. 4, lett. g), del d.lgs. n. 150/2009</w:t>
      </w:r>
    </w:p>
    <w:p w14:paraId="4D8D389A" w14:textId="77777777" w:rsidR="002155AE" w:rsidRPr="00C5488A" w:rsidRDefault="002155AE" w:rsidP="002155AE">
      <w:pPr>
        <w:pStyle w:val="Paragrafoelenco"/>
        <w:widowControl/>
        <w:spacing w:before="120" w:after="0" w:line="276" w:lineRule="auto"/>
        <w:ind w:left="388" w:firstLine="0"/>
        <w:jc w:val="center"/>
        <w:rPr>
          <w:rFonts w:ascii="Titillium" w:hAnsi="Titillium"/>
          <w:sz w:val="20"/>
          <w:szCs w:val="20"/>
        </w:rPr>
      </w:pPr>
      <w:r w:rsidRPr="00C5488A">
        <w:rPr>
          <w:rFonts w:ascii="Titillium" w:hAnsi="Titillium" w:cs="Times New Roman"/>
          <w:b/>
          <w:sz w:val="20"/>
          <w:szCs w:val="20"/>
        </w:rPr>
        <w:t>ATTESTA</w:t>
      </w:r>
    </w:p>
    <w:p w14:paraId="3DC139CC" w14:textId="77777777" w:rsidR="002155AE" w:rsidRDefault="002155AE" w:rsidP="002155AE">
      <w:pPr>
        <w:pStyle w:val="Paragrafoelenco"/>
        <w:widowControl/>
        <w:spacing w:before="120" w:after="0" w:line="276" w:lineRule="auto"/>
        <w:ind w:left="388" w:firstLine="0"/>
        <w:rPr>
          <w:rFonts w:ascii="Titillium" w:hAnsi="Titillium"/>
          <w:sz w:val="20"/>
          <w:szCs w:val="20"/>
        </w:rPr>
      </w:pPr>
      <w:r w:rsidRPr="00C5488A">
        <w:rPr>
          <w:rFonts w:ascii="Titillium" w:hAnsi="Titillium" w:cs="Times New Roman"/>
          <w:sz w:val="20"/>
          <w:szCs w:val="20"/>
        </w:rPr>
        <w:t>la veridicità</w:t>
      </w:r>
      <w:r w:rsidRPr="00C5488A">
        <w:rPr>
          <w:rStyle w:val="Rimandonotaapidipagina"/>
          <w:rFonts w:ascii="Titillium" w:hAnsi="Titillium" w:cs="Times New Roman"/>
          <w:sz w:val="12"/>
          <w:szCs w:val="12"/>
        </w:rPr>
        <w:footnoteReference w:id="1"/>
      </w:r>
      <w:r w:rsidRPr="00C5488A">
        <w:rPr>
          <w:rFonts w:ascii="Titillium" w:hAnsi="Titillium" w:cs="Times New Roman"/>
          <w:sz w:val="12"/>
          <w:szCs w:val="12"/>
        </w:rPr>
        <w:t xml:space="preserve"> </w:t>
      </w:r>
      <w:r w:rsidRPr="00C5488A">
        <w:rPr>
          <w:rFonts w:ascii="Titillium" w:hAnsi="Titillium" w:cs="Times New Roman"/>
          <w:sz w:val="20"/>
          <w:szCs w:val="20"/>
        </w:rPr>
        <w:t>e l’attendibilità, alla data dell’attestazione</w:t>
      </w:r>
      <w:r w:rsidRPr="00C5488A">
        <w:rPr>
          <w:rFonts w:ascii="Titillium" w:hAnsi="Titillium"/>
          <w:sz w:val="20"/>
          <w:szCs w:val="20"/>
        </w:rPr>
        <w:t>,</w:t>
      </w:r>
      <w:r w:rsidRPr="00C5488A">
        <w:rPr>
          <w:rFonts w:ascii="Titillium" w:hAnsi="Titillium" w:cs="Times New Roman"/>
          <w:sz w:val="20"/>
          <w:szCs w:val="20"/>
        </w:rPr>
        <w:t xml:space="preserve"> di quanto riportato nell’Allegato</w:t>
      </w:r>
      <w:r w:rsidRPr="00C5488A">
        <w:rPr>
          <w:rFonts w:ascii="Titillium" w:hAnsi="Titillium" w:cs="Times New Roman"/>
          <w:color w:val="FF0000"/>
          <w:sz w:val="20"/>
          <w:szCs w:val="20"/>
        </w:rPr>
        <w:t xml:space="preserve"> </w:t>
      </w:r>
      <w:r w:rsidRPr="00C5488A">
        <w:rPr>
          <w:rFonts w:ascii="Titillium" w:hAnsi="Titillium" w:cs="Times New Roman"/>
          <w:sz w:val="20"/>
          <w:szCs w:val="20"/>
        </w:rPr>
        <w:t>rispetto a quanto pubblicat</w:t>
      </w:r>
      <w:r w:rsidRPr="00C5488A">
        <w:rPr>
          <w:rFonts w:ascii="Titillium" w:hAnsi="Titillium"/>
          <w:sz w:val="20"/>
          <w:szCs w:val="20"/>
        </w:rPr>
        <w:t>o sul sito dell’ente.</w:t>
      </w:r>
    </w:p>
    <w:p w14:paraId="38D31662" w14:textId="77777777" w:rsidR="002155AE" w:rsidRDefault="002155AE" w:rsidP="002155AE">
      <w:pPr>
        <w:pStyle w:val="Paragrafoelenco"/>
        <w:widowControl/>
        <w:spacing w:before="120" w:after="0" w:line="276" w:lineRule="auto"/>
        <w:ind w:left="388" w:firstLine="0"/>
        <w:rPr>
          <w:rFonts w:ascii="Titillium" w:hAnsi="Titillium"/>
          <w:sz w:val="20"/>
          <w:szCs w:val="20"/>
        </w:rPr>
      </w:pPr>
    </w:p>
    <w:p w14:paraId="150E8E30" w14:textId="77777777" w:rsidR="002155AE" w:rsidRPr="0041405A" w:rsidRDefault="002155AE" w:rsidP="002155AE">
      <w:pPr>
        <w:spacing w:line="360" w:lineRule="auto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Aspetti critici riscontrati nel corso della rilevazione</w:t>
      </w:r>
    </w:p>
    <w:p w14:paraId="6A718015" w14:textId="47B22DAB" w:rsidR="002155AE" w:rsidRPr="00C5488A" w:rsidRDefault="002155AE" w:rsidP="002155AE">
      <w:pPr>
        <w:pStyle w:val="Paragrafoelenco"/>
        <w:widowControl/>
        <w:spacing w:before="120" w:after="0" w:line="276" w:lineRule="auto"/>
        <w:ind w:left="388" w:firstLine="0"/>
        <w:rPr>
          <w:rFonts w:ascii="Titillium" w:hAnsi="Titillium"/>
          <w:sz w:val="20"/>
          <w:szCs w:val="20"/>
        </w:rPr>
      </w:pPr>
      <w:r>
        <w:rPr>
          <w:rFonts w:ascii="Titillium" w:hAnsi="Titillium"/>
          <w:sz w:val="20"/>
          <w:szCs w:val="20"/>
        </w:rPr>
        <w:t>Molte delle</w:t>
      </w:r>
      <w:r>
        <w:rPr>
          <w:rFonts w:ascii="Titillium" w:hAnsi="Titillium"/>
          <w:sz w:val="20"/>
          <w:szCs w:val="20"/>
        </w:rPr>
        <w:t xml:space="preserve"> criticità rilevate alla data del 31 maggio</w:t>
      </w:r>
      <w:r>
        <w:rPr>
          <w:rFonts w:ascii="Titillium" w:hAnsi="Titillium"/>
          <w:sz w:val="20"/>
          <w:szCs w:val="20"/>
        </w:rPr>
        <w:t xml:space="preserve"> sono ancora presenti</w:t>
      </w:r>
    </w:p>
    <w:p w14:paraId="1F4B8BC2" w14:textId="77777777" w:rsidR="002155AE" w:rsidRPr="00C5488A" w:rsidRDefault="002155AE" w:rsidP="002155AE">
      <w:pPr>
        <w:widowControl/>
        <w:spacing w:line="276" w:lineRule="auto"/>
        <w:rPr>
          <w:rFonts w:ascii="Titillium" w:hAnsi="Titillium" w:cs="Times New Roman"/>
          <w:sz w:val="20"/>
          <w:szCs w:val="20"/>
        </w:rPr>
      </w:pPr>
    </w:p>
    <w:p w14:paraId="303D5B0F" w14:textId="1A4AF5FF" w:rsidR="002155AE" w:rsidRPr="00C5488A" w:rsidRDefault="002155AE" w:rsidP="002155AE">
      <w:pPr>
        <w:spacing w:before="120" w:after="0" w:line="276" w:lineRule="auto"/>
        <w:jc w:val="left"/>
        <w:rPr>
          <w:rFonts w:ascii="Titillium" w:hAnsi="Titillium" w:cs="Times New Roman"/>
          <w:sz w:val="20"/>
          <w:szCs w:val="20"/>
        </w:rPr>
      </w:pPr>
      <w:r w:rsidRPr="00C5488A">
        <w:rPr>
          <w:rFonts w:ascii="Titillium" w:hAnsi="Titillium" w:cs="Times New Roman"/>
          <w:sz w:val="20"/>
          <w:szCs w:val="20"/>
        </w:rPr>
        <w:t>Data</w:t>
      </w:r>
      <w:r>
        <w:rPr>
          <w:rFonts w:ascii="Titillium" w:hAnsi="Titillium" w:cs="Times New Roman"/>
          <w:sz w:val="20"/>
          <w:szCs w:val="20"/>
        </w:rPr>
        <w:t xml:space="preserve"> </w:t>
      </w:r>
      <w:r>
        <w:rPr>
          <w:rFonts w:ascii="Titillium" w:hAnsi="Titillium" w:cs="Times New Roman"/>
          <w:sz w:val="20"/>
          <w:szCs w:val="20"/>
        </w:rPr>
        <w:t>7</w:t>
      </w:r>
      <w:r>
        <w:rPr>
          <w:rFonts w:ascii="Titillium" w:hAnsi="Titillium" w:cs="Times New Roman"/>
          <w:sz w:val="20"/>
          <w:szCs w:val="20"/>
        </w:rPr>
        <w:t>.11.2022</w:t>
      </w:r>
    </w:p>
    <w:p w14:paraId="3CDB1029" w14:textId="77777777" w:rsidR="002155AE" w:rsidRPr="00C5488A" w:rsidRDefault="002155AE" w:rsidP="002155AE">
      <w:pPr>
        <w:spacing w:before="120" w:after="0" w:line="276" w:lineRule="auto"/>
        <w:jc w:val="right"/>
        <w:rPr>
          <w:rFonts w:ascii="Titillium" w:hAnsi="Titillium" w:cs="Times New Roman"/>
          <w:sz w:val="20"/>
          <w:szCs w:val="20"/>
        </w:rPr>
      </w:pPr>
    </w:p>
    <w:p w14:paraId="3B07DA33" w14:textId="77777777" w:rsidR="002155AE" w:rsidRDefault="002155AE" w:rsidP="002155AE">
      <w:pPr>
        <w:spacing w:before="120" w:after="0" w:line="276" w:lineRule="auto"/>
        <w:rPr>
          <w:rFonts w:ascii="Titillium" w:hAnsi="Titillium" w:cs="Times New Roman"/>
          <w:sz w:val="20"/>
          <w:szCs w:val="20"/>
        </w:rPr>
      </w:pPr>
      <w:r w:rsidRPr="00C5488A">
        <w:rPr>
          <w:rFonts w:ascii="Titillium" w:hAnsi="Titillium" w:cs="Times New Roman"/>
          <w:sz w:val="20"/>
          <w:szCs w:val="20"/>
        </w:rPr>
        <w:t xml:space="preserve">Firma dei componenti </w:t>
      </w:r>
      <w:r>
        <w:rPr>
          <w:rFonts w:ascii="Titillium" w:hAnsi="Titillium" w:cs="Times New Roman"/>
          <w:sz w:val="20"/>
          <w:szCs w:val="20"/>
        </w:rPr>
        <w:t>il Nucleo di Valutazione</w:t>
      </w:r>
    </w:p>
    <w:p w14:paraId="374AA02F" w14:textId="77777777" w:rsidR="002155AE" w:rsidRPr="00C5488A" w:rsidRDefault="002155AE" w:rsidP="002155AE">
      <w:pPr>
        <w:spacing w:before="120" w:after="0" w:line="276" w:lineRule="auto"/>
        <w:rPr>
          <w:rFonts w:ascii="Titillium" w:hAnsi="Titillium" w:cs="Times New Roman"/>
          <w:sz w:val="20"/>
          <w:szCs w:val="20"/>
        </w:rPr>
      </w:pPr>
      <w:r>
        <w:rPr>
          <w:rFonts w:ascii="Titillium" w:hAnsi="Titillium" w:cs="Times New Roman"/>
          <w:sz w:val="20"/>
          <w:szCs w:val="20"/>
        </w:rPr>
        <w:t>Dott. Arturo Bianco</w:t>
      </w:r>
    </w:p>
    <w:p w14:paraId="44EFF3C1" w14:textId="77777777" w:rsidR="002155AE" w:rsidRPr="00EF325A" w:rsidRDefault="002155AE" w:rsidP="002155AE">
      <w:pPr>
        <w:rPr>
          <w:rFonts w:ascii="Arial" w:hAnsi="Arial" w:cs="Arial"/>
        </w:rPr>
      </w:pPr>
      <w:r w:rsidRPr="00EF325A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418271A4" wp14:editId="444E65BD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827530" cy="1136585"/>
            <wp:effectExtent l="0" t="0" r="1270" b="6985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530" cy="113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</w:rPr>
        <w:br w:type="textWrapping" w:clear="all"/>
      </w:r>
    </w:p>
    <w:p w14:paraId="4467144C" w14:textId="77777777" w:rsidR="002155AE" w:rsidRPr="00C5488A" w:rsidRDefault="002155AE" w:rsidP="002155AE">
      <w:pPr>
        <w:spacing w:before="120" w:after="0" w:line="276" w:lineRule="auto"/>
        <w:jc w:val="right"/>
        <w:rPr>
          <w:rFonts w:ascii="Titillium" w:hAnsi="Titillium" w:cs="Times New Roman"/>
          <w:sz w:val="20"/>
          <w:szCs w:val="20"/>
        </w:rPr>
      </w:pPr>
    </w:p>
    <w:p w14:paraId="40F161AB" w14:textId="77777777" w:rsidR="00F47D9D" w:rsidRDefault="00F47D9D"/>
    <w:sectPr w:rsidR="00F47D9D">
      <w:headerReference w:type="default" r:id="rId8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6932F" w14:textId="77777777" w:rsidR="002155AE" w:rsidRDefault="002155AE" w:rsidP="002155AE">
      <w:pPr>
        <w:spacing w:after="0" w:line="240" w:lineRule="auto"/>
      </w:pPr>
      <w:r>
        <w:separator/>
      </w:r>
    </w:p>
  </w:endnote>
  <w:endnote w:type="continuationSeparator" w:id="0">
    <w:p w14:paraId="7305A45E" w14:textId="77777777" w:rsidR="002155AE" w:rsidRDefault="002155AE" w:rsidP="00215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tillium">
    <w:altName w:val="Calibri"/>
    <w:panose1 w:val="020B0604020202020204"/>
    <w:charset w:val="00"/>
    <w:family w:val="modern"/>
    <w:notTrueType/>
    <w:pitch w:val="variable"/>
    <w:sig w:usb0="00000007" w:usb1="00000001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631D0" w14:textId="77777777" w:rsidR="002155AE" w:rsidRDefault="002155AE" w:rsidP="002155AE">
      <w:pPr>
        <w:spacing w:after="0" w:line="240" w:lineRule="auto"/>
      </w:pPr>
      <w:r>
        <w:separator/>
      </w:r>
    </w:p>
  </w:footnote>
  <w:footnote w:type="continuationSeparator" w:id="0">
    <w:p w14:paraId="69516BF1" w14:textId="77777777" w:rsidR="002155AE" w:rsidRDefault="002155AE" w:rsidP="002155AE">
      <w:pPr>
        <w:spacing w:after="0" w:line="240" w:lineRule="auto"/>
      </w:pPr>
      <w:r>
        <w:continuationSeparator/>
      </w:r>
    </w:p>
  </w:footnote>
  <w:footnote w:id="1">
    <w:p w14:paraId="0EA1D03D" w14:textId="77777777" w:rsidR="002155AE" w:rsidRDefault="002155AE" w:rsidP="002155AE">
      <w:pPr>
        <w:pStyle w:val="Testonotaapidipagina"/>
        <w:spacing w:line="240" w:lineRule="auto"/>
      </w:pPr>
      <w:r w:rsidRPr="001E200A">
        <w:rPr>
          <w:rStyle w:val="Rimandonotaapidipagina"/>
          <w:rFonts w:ascii="Titillium" w:hAnsi="Titillium"/>
          <w:sz w:val="12"/>
          <w:szCs w:val="12"/>
        </w:rPr>
        <w:footnoteRef/>
      </w:r>
      <w:r w:rsidRPr="00AA64A3">
        <w:rPr>
          <w:rFonts w:ascii="Titillium" w:hAnsi="Titillium"/>
          <w:sz w:val="18"/>
          <w:szCs w:val="18"/>
        </w:rPr>
        <w:t>Il concetto di veridicità è inteso qui come conformità tra quanto rilevato dall’OIV/altro organismo con funzioni analoghe nell’Allegato 2.1 e quanto pubblicato sul sito istituzionale al momento dell’attestazione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E800F" w14:textId="77777777" w:rsidR="004E3FEA" w:rsidRPr="00B91F3C" w:rsidRDefault="002155AE" w:rsidP="00B91F3C">
    <w:pPr>
      <w:pStyle w:val="Intestazione"/>
      <w:spacing w:line="276" w:lineRule="auto"/>
      <w:rPr>
        <w:rFonts w:ascii="Titillium" w:hAnsi="Titillium"/>
        <w:b/>
        <w:sz w:val="20"/>
        <w:szCs w:val="20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5A3C8A"/>
    <w:multiLevelType w:val="multilevel"/>
    <w:tmpl w:val="C562D43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1"/>
        </w:tabs>
        <w:ind w:left="1801" w:firstLine="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1"/>
        </w:tabs>
        <w:ind w:left="3961" w:firstLine="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firstLine="0"/>
      </w:pPr>
    </w:lvl>
  </w:abstractNum>
  <w:num w:numId="1" w16cid:durableId="1562250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5AE"/>
    <w:rsid w:val="002155AE"/>
    <w:rsid w:val="00F47D9D"/>
    <w:rsid w:val="00F97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0775F34"/>
  <w15:chartTrackingRefBased/>
  <w15:docId w15:val="{BD4FB037-FBC2-5243-A815-A6A799BB0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2155AE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sid w:val="002155AE"/>
    <w:rPr>
      <w:position w:val="20"/>
      <w:sz w:val="13"/>
    </w:rPr>
  </w:style>
  <w:style w:type="paragraph" w:styleId="Testonotaapidipagina">
    <w:name w:val="footnote text"/>
    <w:basedOn w:val="Normale"/>
    <w:link w:val="TestonotaapidipaginaCarattere"/>
    <w:rsid w:val="002155AE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2155AE"/>
    <w:rPr>
      <w:rFonts w:ascii="Times New Roman" w:eastAsia="Times New Roman" w:hAnsi="Times New Roman" w:cs="Cambria"/>
      <w:lang w:eastAsia="ar-SA"/>
    </w:rPr>
  </w:style>
  <w:style w:type="paragraph" w:styleId="Paragrafoelenco">
    <w:name w:val="List Paragraph"/>
    <w:basedOn w:val="Normale"/>
    <w:uiPriority w:val="34"/>
    <w:qFormat/>
    <w:rsid w:val="002155AE"/>
    <w:pPr>
      <w:ind w:left="357" w:hanging="357"/>
    </w:pPr>
  </w:style>
  <w:style w:type="paragraph" w:styleId="Intestazione">
    <w:name w:val="header"/>
    <w:basedOn w:val="Normale"/>
    <w:link w:val="IntestazioneCarattere"/>
    <w:rsid w:val="002155AE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2155AE"/>
    <w:rPr>
      <w:rFonts w:ascii="Times New Roman" w:eastAsia="Times New Roman" w:hAnsi="Times New Roman" w:cs="Cambri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Bianco</dc:creator>
  <cp:keywords/>
  <dc:description/>
  <cp:lastModifiedBy>Arturo Bianco</cp:lastModifiedBy>
  <cp:revision>1</cp:revision>
  <dcterms:created xsi:type="dcterms:W3CDTF">2022-11-07T22:21:00Z</dcterms:created>
  <dcterms:modified xsi:type="dcterms:W3CDTF">2022-11-07T22:22:00Z</dcterms:modified>
</cp:coreProperties>
</file>